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jc w:val="left"/>
        <w:rPr/>
      </w:pPr>
      <w:r>
        <w:rPr/>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 xml:space="preserve">UNITED STATES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SECURITIES AND EXCHANGE COMMISSION</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WASHINGTON, D.C. 20549</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8"/>
          <w:highlight w:val="white"/>
        </w:rPr>
      </w:pPr>
      <w:r>
        <w:rPr>
          <w:rFonts w:ascii="Times New Roman" w:hAnsi="Times New Roman"/>
          <w:b/>
          <w:color w:val="000000"/>
          <w:sz w:val="28"/>
          <w:highlight w:val="white"/>
        </w:rPr>
        <w:t>FORM 10-K</w:t>
      </w:r>
    </w:p>
    <w:p>
      <w:pPr>
        <w:pStyle w:val="TextBody"/>
        <w:spacing w:before="0" w:after="0"/>
        <w:jc w:val="center"/>
        <w:rPr>
          <w:color w:val="000000"/>
          <w:highlight w:val="white"/>
        </w:rPr>
      </w:pPr>
      <w:r>
        <w:rPr>
          <w:color w:val="000000"/>
          <w:highlight w:val="white"/>
        </w:rPr>
        <w:t> </w:t>
      </w:r>
    </w:p>
    <w:p>
      <w:pPr>
        <w:pStyle w:val="TextBody"/>
        <w:spacing w:before="0" w:after="0"/>
        <w:jc w:val="center"/>
        <w:rPr>
          <w:color w:val="000000"/>
          <w:highlight w:val="white"/>
        </w:rPr>
      </w:pPr>
      <w:r>
        <w:rPr>
          <w:color w:val="000000"/>
          <w:highlight w:val="white"/>
        </w:rPr>
        <w:t xml:space="preserve">☒ </w:t>
      </w:r>
      <w:r>
        <w:rPr>
          <w:rFonts w:ascii="Times New Roman" w:hAnsi="Times New Roman"/>
          <w:b/>
          <w:color w:val="000000"/>
          <w:sz w:val="20"/>
          <w:highlight w:val="white"/>
        </w:rPr>
        <w:t>ANNUAL REPORT PURSUANT TO SECTION 13 OR 15(d) OF THE SECURITIES EXCHANGE ACT OF 1934</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For the fiscal year ended December 31, 2022</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OR</w:t>
      </w:r>
    </w:p>
    <w:p>
      <w:pPr>
        <w:pStyle w:val="TextBody"/>
        <w:spacing w:before="0" w:after="0"/>
        <w:jc w:val="center"/>
        <w:rPr>
          <w:color w:val="000000"/>
          <w:highlight w:val="white"/>
        </w:rPr>
      </w:pPr>
      <w:r>
        <w:rPr>
          <w:color w:val="000000"/>
          <w:highlight w:val="white"/>
        </w:rPr>
        <w:t> </w:t>
      </w:r>
    </w:p>
    <w:p>
      <w:pPr>
        <w:pStyle w:val="TextBody"/>
        <w:spacing w:before="0" w:after="0"/>
        <w:jc w:val="center"/>
        <w:rPr>
          <w:color w:val="000000"/>
          <w:highlight w:val="white"/>
        </w:rPr>
      </w:pPr>
      <w:r>
        <w:rPr>
          <w:color w:val="000000"/>
          <w:highlight w:val="white"/>
        </w:rPr>
        <w:t xml:space="preserve">☐ </w:t>
      </w:r>
      <w:r>
        <w:rPr>
          <w:rFonts w:ascii="Times New Roman" w:hAnsi="Times New Roman"/>
          <w:b/>
          <w:color w:val="000000"/>
          <w:sz w:val="20"/>
          <w:highlight w:val="white"/>
        </w:rPr>
        <w:t>TRANSITION REPORT PURSUANT TO SECTION 13 OR 15(d) OF THE SECURITIES EXCHANGE ACT OF 1934</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Commission file number: 0-11635</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8"/>
          <w:highlight w:val="white"/>
        </w:rPr>
      </w:pPr>
      <w:r>
        <w:rPr>
          <w:rFonts w:ascii="Times New Roman" w:hAnsi="Times New Roman"/>
          <w:b/>
          <w:color w:val="000000"/>
          <w:sz w:val="28"/>
          <w:highlight w:val="white"/>
        </w:rPr>
        <w:t>STRATA SKIN SCIENCES, INC.</w:t>
      </w:r>
    </w:p>
    <w:p>
      <w:pPr>
        <w:pStyle w:val="TextBody"/>
        <w:spacing w:before="0" w:after="0"/>
        <w:jc w:val="center"/>
        <w:rPr>
          <w:rFonts w:ascii="Times New Roman" w:hAnsi="Times New Roman"/>
          <w:color w:val="000000"/>
          <w:sz w:val="20"/>
          <w:highlight w:val="white"/>
        </w:rPr>
      </w:pPr>
      <w:r>
        <w:rPr>
          <w:rFonts w:ascii="Times New Roman" w:hAnsi="Times New Roman"/>
          <w:color w:val="000000"/>
          <w:sz w:val="20"/>
          <w:highlight w:val="white"/>
        </w:rPr>
        <w:t>(Exact name of registrant as specified in its charter)</w:t>
      </w:r>
    </w:p>
    <w:p>
      <w:pPr>
        <w:pStyle w:val="TextBody"/>
        <w:spacing w:before="0" w:after="0"/>
        <w:jc w:val="center"/>
        <w:rPr>
          <w:color w:val="000000"/>
          <w:highlight w:val="white"/>
        </w:rPr>
      </w:pPr>
      <w:r>
        <w:rPr>
          <w:color w:val="000000"/>
          <w:highlight w:val="white"/>
        </w:rPr>
        <w:t> </w:t>
      </w:r>
    </w:p>
    <w:tbl>
      <w:tblPr>
        <w:tblW w:w="4120" w:type="dxa"/>
        <w:jc w:val="left"/>
        <w:tblInd w:w="0" w:type="dxa"/>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Delaware</w:t>
            </w:r>
          </w:p>
        </w:tc>
        <w:tc>
          <w:tcPr>
            <w:tcW w:w="60" w:type="dxa"/>
            <w:tcBorders/>
            <w:shd w:fill="auto" w:val="clear"/>
            <w:tcMar>
              <w:bottom w:w="0" w:type="dxa"/>
            </w:tcMar>
            <w:vAlign w:val="center"/>
          </w:tcPr>
          <w:p>
            <w:pPr>
              <w:pStyle w:val="TableContents"/>
              <w:spacing w:before="0" w:after="0"/>
              <w:jc w:val="center"/>
              <w:rPr/>
            </w:pPr>
            <w:r>
              <w:rPr/>
              <w:t> </w:t>
            </w:r>
          </w:p>
        </w:tc>
        <w:tc>
          <w:tcPr>
            <w:tcW w:w="1535" w:type="dxa"/>
            <w:tcBorders>
              <w:bottom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13-3986004</w:t>
            </w:r>
          </w:p>
        </w:tc>
      </w:tr>
      <w:tr>
        <w:trPr/>
        <w:tc>
          <w:tcPr>
            <w:tcW w:w="2525"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0"/>
              <w:jc w:val="center"/>
              <w:rPr/>
            </w:pPr>
            <w:r>
              <w:rPr/>
              <w:t> </w:t>
            </w:r>
          </w:p>
        </w:tc>
        <w:tc>
          <w:tcPr>
            <w:tcW w:w="1535"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(I.R.S. Employer</w:t>
              <w:br/>
              <w:t>Identification No.)</w:t>
            </w:r>
          </w:p>
        </w:tc>
      </w:tr>
    </w:tbl>
    <w:p>
      <w:pPr>
        <w:pStyle w:val="TextBody"/>
        <w:spacing w:before="0" w:after="0"/>
        <w:jc w:val="left"/>
        <w:rPr>
          <w:color w:val="000000"/>
          <w:highlight w:val="white"/>
        </w:rPr>
      </w:pPr>
      <w:r>
        <w:rPr>
          <w:color w:val="000000"/>
          <w:highlight w:val="white"/>
        </w:rPr>
        <w:t> </w:t>
      </w:r>
    </w:p>
    <w:tbl>
      <w:tblPr>
        <w:tblW w:w="5800" w:type="dxa"/>
        <w:jc w:val="left"/>
        <w:tblInd w:w="0" w:type="dxa"/>
        <w:tblCellMar>
          <w:top w:w="0" w:type="dxa"/>
          <w:left w:w="0" w:type="dxa"/>
          <w:bottom w:w="28" w:type="dxa"/>
          <w:right w:w="0" w:type="dxa"/>
        </w:tblCellMar>
      </w:tblPr>
      <w:tblGrid>
        <w:gridCol w:w="4865"/>
        <w:gridCol w:w="60"/>
        <w:gridCol w:w="875"/>
      </w:tblGrid>
      <w:tr>
        <w:trPr/>
        <w:tc>
          <w:tcPr>
            <w:tcW w:w="4865"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5 Walnut Grove Drive, Suite 140 Horsham, Pennsylvania</w:t>
            </w:r>
          </w:p>
        </w:tc>
        <w:tc>
          <w:tcPr>
            <w:tcW w:w="60" w:type="dxa"/>
            <w:tcBorders/>
            <w:shd w:fill="auto" w:val="clear"/>
            <w:tcMar>
              <w:bottom w:w="0" w:type="dxa"/>
            </w:tcMar>
            <w:vAlign w:val="center"/>
          </w:tcPr>
          <w:p>
            <w:pPr>
              <w:pStyle w:val="TableContents"/>
              <w:spacing w:before="0" w:after="0"/>
              <w:jc w:val="center"/>
              <w:rPr/>
            </w:pPr>
            <w:r>
              <w:rPr/>
              <w:t> </w:t>
            </w:r>
          </w:p>
        </w:tc>
        <w:tc>
          <w:tcPr>
            <w:tcW w:w="875" w:type="dxa"/>
            <w:tcBorders>
              <w:bottom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19044</w:t>
            </w:r>
          </w:p>
        </w:tc>
      </w:tr>
      <w:tr>
        <w:trPr/>
        <w:tc>
          <w:tcPr>
            <w:tcW w:w="4865"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shd w:fill="auto" w:val="clear"/>
            <w:tcMar>
              <w:bottom w:w="0" w:type="dxa"/>
            </w:tcMar>
            <w:vAlign w:val="center"/>
          </w:tcPr>
          <w:p>
            <w:pPr>
              <w:pStyle w:val="TableContents"/>
              <w:spacing w:before="0" w:after="0"/>
              <w:jc w:val="center"/>
              <w:rPr/>
            </w:pPr>
            <w:r>
              <w:rPr/>
              <w:t> </w:t>
            </w:r>
          </w:p>
        </w:tc>
        <w:tc>
          <w:tcPr>
            <w:tcW w:w="875" w:type="dxa"/>
            <w:tcBorders/>
            <w:shd w:fill="auto"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(Zip code)</w:t>
            </w:r>
          </w:p>
        </w:tc>
      </w:tr>
    </w:tbl>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Registrant’s telephone number, including area code: (215) 619-3200</w:t>
      </w:r>
    </w:p>
    <w:p>
      <w:pPr>
        <w:pStyle w:val="TextBody"/>
        <w:spacing w:before="0" w:after="0"/>
        <w:jc w:val="center"/>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Securities registered pursuant to Section 12(b) of the Act:</w:t>
      </w:r>
    </w:p>
    <w:p>
      <w:pPr>
        <w:pStyle w:val="TextBody"/>
        <w:spacing w:before="0" w:after="0"/>
        <w:jc w:val="center"/>
        <w:rPr>
          <w:color w:val="000000"/>
          <w:highlight w:val="white"/>
        </w:rPr>
      </w:pPr>
      <w:r>
        <w:rPr>
          <w:color w:val="000000"/>
          <w:highlight w:val="white"/>
        </w:rPr>
        <w:t> </w:t>
      </w:r>
    </w:p>
    <w:tbl>
      <w:tblPr>
        <w:tblW w:w="8505" w:type="dxa"/>
        <w:jc w:val="left"/>
        <w:tblInd w:w="0" w:type="dxa"/>
        <w:tblCellMar>
          <w:top w:w="0" w:type="dxa"/>
          <w:left w:w="0" w:type="dxa"/>
          <w:bottom w:w="28" w:type="dxa"/>
          <w:right w:w="0" w:type="dxa"/>
        </w:tblCellMar>
      </w:tblPr>
      <w:tblGrid>
        <w:gridCol w:w="2780"/>
        <w:gridCol w:w="60"/>
        <w:gridCol w:w="1610"/>
        <w:gridCol w:w="60"/>
        <w:gridCol w:w="3995"/>
      </w:tblGrid>
      <w:tr>
        <w:trPr/>
        <w:tc>
          <w:tcPr>
            <w:tcW w:w="2780"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Title of Each Class</w:t>
            </w:r>
          </w:p>
        </w:tc>
        <w:tc>
          <w:tcPr>
            <w:tcW w:w="60" w:type="dxa"/>
            <w:tcBorders/>
            <w:shd w:fill="auto" w:val="clear"/>
            <w:tcMar>
              <w:bottom w:w="0" w:type="dxa"/>
            </w:tcMar>
            <w:vAlign w:val="center"/>
          </w:tcPr>
          <w:p>
            <w:pPr>
              <w:pStyle w:val="TableContents"/>
              <w:spacing w:before="0" w:after="0"/>
              <w:jc w:val="center"/>
              <w:rPr/>
            </w:pPr>
            <w:r>
              <w:rPr/>
              <w:t> </w:t>
            </w:r>
          </w:p>
        </w:tc>
        <w:tc>
          <w:tcPr>
            <w:tcW w:w="1610"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Trading Symbol(s)</w:t>
            </w:r>
          </w:p>
        </w:tc>
        <w:tc>
          <w:tcPr>
            <w:tcW w:w="60" w:type="dxa"/>
            <w:tcBorders/>
            <w:shd w:fill="auto" w:val="clear"/>
            <w:tcMar>
              <w:bottom w:w="0" w:type="dxa"/>
            </w:tcMar>
            <w:vAlign w:val="center"/>
          </w:tcPr>
          <w:p>
            <w:pPr>
              <w:pStyle w:val="TableContents"/>
              <w:spacing w:before="0" w:after="0"/>
              <w:jc w:val="center"/>
              <w:rPr/>
            </w:pPr>
            <w:r>
              <w:rPr/>
              <w:t> </w:t>
            </w:r>
          </w:p>
        </w:tc>
        <w:tc>
          <w:tcPr>
            <w:tcW w:w="3995" w:type="dxa"/>
            <w:tcBorders>
              <w:bottom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b/>
                <w:sz w:val="20"/>
              </w:rPr>
              <w:t>Name Of Each Exchange</w:t>
            </w:r>
            <w:r>
              <w:rPr>
                <w:rFonts w:ascii="Times New Roman" w:hAnsi="Times New Roman"/>
                <w:sz w:val="20"/>
              </w:rPr>
              <w:t> </w:t>
            </w:r>
            <w:r>
              <w:rPr>
                <w:rFonts w:ascii="Times New Roman" w:hAnsi="Times New Roman"/>
                <w:b/>
                <w:sz w:val="20"/>
              </w:rPr>
              <w:t>On Which Registered</w:t>
            </w:r>
          </w:p>
        </w:tc>
      </w:tr>
      <w:tr>
        <w:trPr/>
        <w:tc>
          <w:tcPr>
            <w:tcW w:w="2780" w:type="dxa"/>
            <w:tcBorders/>
            <w:shd w:fill="CCEEFF"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Common Stock, $0.001 Par Value</w:t>
            </w:r>
          </w:p>
        </w:tc>
        <w:tc>
          <w:tcPr>
            <w:tcW w:w="60" w:type="dxa"/>
            <w:tcBorders/>
            <w:shd w:fill="CCEEFF" w:val="clear"/>
            <w:tcMar>
              <w:bottom w:w="0" w:type="dxa"/>
            </w:tcMar>
            <w:vAlign w:val="center"/>
          </w:tcPr>
          <w:p>
            <w:pPr>
              <w:pStyle w:val="TableContents"/>
              <w:spacing w:before="0" w:after="0"/>
              <w:jc w:val="center"/>
              <w:rPr/>
            </w:pPr>
            <w:r>
              <w:rPr/>
              <w:t> </w:t>
            </w:r>
          </w:p>
        </w:tc>
        <w:tc>
          <w:tcPr>
            <w:tcW w:w="1610" w:type="dxa"/>
            <w:tcBorders/>
            <w:shd w:fill="CCEEFF"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SSKN</w:t>
            </w:r>
          </w:p>
        </w:tc>
        <w:tc>
          <w:tcPr>
            <w:tcW w:w="60" w:type="dxa"/>
            <w:tcBorders/>
            <w:shd w:fill="CCEEFF" w:val="clear"/>
            <w:tcMar>
              <w:bottom w:w="0" w:type="dxa"/>
            </w:tcMar>
            <w:vAlign w:val="center"/>
          </w:tcPr>
          <w:p>
            <w:pPr>
              <w:pStyle w:val="TableContents"/>
              <w:spacing w:before="0" w:after="0"/>
              <w:jc w:val="center"/>
              <w:rPr/>
            </w:pPr>
            <w:r>
              <w:rPr/>
              <w:t> </w:t>
            </w:r>
          </w:p>
        </w:tc>
        <w:tc>
          <w:tcPr>
            <w:tcW w:w="3995" w:type="dxa"/>
            <w:tcBorders/>
            <w:shd w:fill="CCEEFF" w:val="clear"/>
            <w:tcMar>
              <w:bottom w:w="0" w:type="dxa"/>
            </w:tcM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tc>
      </w:tr>
    </w:tbl>
    <w:p>
      <w:pPr>
        <w:pStyle w:val="TextBody"/>
        <w:spacing w:before="0" w:after="0"/>
        <w:jc w:val="both"/>
        <w:rPr>
          <w:color w:val="000000"/>
          <w:highlight w:val="white"/>
        </w:rPr>
      </w:pPr>
      <w:r>
        <w:rPr>
          <w:color w:val="000000"/>
          <w:highlight w:val="white"/>
        </w:rPr>
        <w:t> </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Securities registered pursuant to Section 12(g) of the Act: None</w:t>
      </w:r>
    </w:p>
    <w:p>
      <w:pPr>
        <w:pStyle w:val="TextBody"/>
        <w:spacing w:before="0" w:after="0"/>
        <w:jc w:val="both"/>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if the registrant is a well-known seasoned issuer, as defined in Rule 405 of the Securities Act. Yes ☐    No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if the registrant is not required to file reports pursuant to Section 13 or Section 15(d) of the Act. Yes ☐    No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     No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color w:val="000000"/>
          <w:highlight w:val="white"/>
        </w:rPr>
      </w:pPr>
      <w:r>
        <w:rPr>
          <w:color w:val="000000"/>
          <w:highlight w:val="white"/>
        </w:rPr>
        <w:t> </w:t>
      </w:r>
    </w:p>
    <w:tbl>
      <w:tblPr>
        <w:tblW w:w="8375" w:type="dxa"/>
        <w:jc w:val="left"/>
        <w:tblInd w:w="0" w:type="dxa"/>
        <w:tblCellMar>
          <w:top w:w="0" w:type="dxa"/>
          <w:left w:w="0" w:type="dxa"/>
          <w:bottom w:w="0" w:type="dxa"/>
          <w:right w:w="0" w:type="dxa"/>
        </w:tblCellMar>
      </w:tblPr>
      <w:tblGrid>
        <w:gridCol w:w="2135"/>
        <w:gridCol w:w="1670"/>
        <w:gridCol w:w="2030"/>
        <w:gridCol w:w="2540"/>
      </w:tblGrid>
      <w:tr>
        <w:trPr/>
        <w:tc>
          <w:tcPr>
            <w:tcW w:w="2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Large accelerated filer   ☐</w:t>
            </w:r>
          </w:p>
        </w:tc>
        <w:tc>
          <w:tcPr>
            <w:tcW w:w="16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Accelerated filer   ☐</w:t>
            </w:r>
          </w:p>
        </w:tc>
        <w:tc>
          <w:tcPr>
            <w:tcW w:w="2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Non-accelerated filer   ☒</w:t>
            </w:r>
          </w:p>
        </w:tc>
        <w:tc>
          <w:tcPr>
            <w:tcW w:w="2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Smaller reporting company   ☒</w:t>
            </w:r>
          </w:p>
        </w:tc>
      </w:tr>
      <w:tr>
        <w:trPr/>
        <w:tc>
          <w:tcPr>
            <w:tcW w:w="2135" w:type="dxa"/>
            <w:tcBorders/>
            <w:shd w:fill="auto" w:val="clear"/>
            <w:vAlign w:val="center"/>
          </w:tcPr>
          <w:p>
            <w:pPr>
              <w:pStyle w:val="TableContents"/>
              <w:spacing w:before="0" w:after="0"/>
              <w:jc w:val="left"/>
              <w:rPr/>
            </w:pPr>
            <w:r>
              <w:rPr/>
              <w:t> </w:t>
            </w:r>
          </w:p>
        </w:tc>
        <w:tc>
          <w:tcPr>
            <w:tcW w:w="1670" w:type="dxa"/>
            <w:tcBorders/>
            <w:shd w:fill="auto" w:val="clear"/>
            <w:vAlign w:val="center"/>
          </w:tcPr>
          <w:p>
            <w:pPr>
              <w:pStyle w:val="TableContents"/>
              <w:spacing w:before="0" w:after="0"/>
              <w:jc w:val="left"/>
              <w:rPr/>
            </w:pPr>
            <w:r>
              <w:rPr/>
              <w:t> </w:t>
            </w:r>
          </w:p>
        </w:tc>
        <w:tc>
          <w:tcPr>
            <w:tcW w:w="2030" w:type="dxa"/>
            <w:tcBorders/>
            <w:shd w:fill="auto" w:val="clear"/>
            <w:vAlign w:val="center"/>
          </w:tcPr>
          <w:p>
            <w:pPr>
              <w:pStyle w:val="TableContents"/>
              <w:spacing w:before="0" w:after="0"/>
              <w:jc w:val="left"/>
              <w:rPr/>
            </w:pPr>
            <w:r>
              <w:rPr/>
              <w:t> </w:t>
            </w:r>
          </w:p>
        </w:tc>
        <w:tc>
          <w:tcPr>
            <w:tcW w:w="2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Emerging growth company   ☐</w:t>
            </w:r>
          </w:p>
        </w:tc>
      </w:tr>
    </w:tbl>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Indicate by check mark whether the registrant is a shell company (as defined in Rule 12b-2 of the Exchange Act). Yes ☐     No ☒</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color w:val="000000"/>
          <w:sz w:val="20"/>
          <w:highlight w:val="white"/>
        </w:rPr>
      </w:pPr>
      <w:r>
        <w:rPr>
          <w:rFonts w:ascii="Times New Roman" w:hAnsi="Times New Roman"/>
          <w:color w:val="000000"/>
          <w:sz w:val="20"/>
          <w:highlight w:val="white"/>
        </w:rPr>
        <w:t>The number of shares outstanding of our common stock as of June 30, 2022 was 34,723,046 shares. The aggregate market value of voting and non-voting common equity held by non-affiliates on the registrant was $17,222,777, computed by reference to the closing market price of $0.96 of the common stock as of June 30, 2022 and 17,940,393 shares held by non-affiliates. As of March 15, 2023, the number of shares outstanding of our common stock was 34,881,453.</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160"/>
        <w:jc w:val="left"/>
        <w:rPr>
          <w:rFonts w:ascii="Times New Roman" w:hAnsi="Times New Roman"/>
          <w:b/>
          <w:color w:val="000000"/>
          <w:sz w:val="20"/>
          <w:highlight w:val="white"/>
        </w:rPr>
      </w:pPr>
      <w:r>
        <w:rPr>
          <w:rFonts w:ascii="Times New Roman" w:hAnsi="Times New Roman"/>
          <w:b/>
          <w:color w:val="000000"/>
          <w:sz w:val="20"/>
          <w:highlight w:val="white"/>
        </w:rPr>
        <w:t>Documents incorporated by reference:</w:t>
      </w:r>
    </w:p>
    <w:p>
      <w:pPr>
        <w:pStyle w:val="TextBody"/>
        <w:spacing w:before="0" w:after="160"/>
        <w:jc w:val="left"/>
        <w:rPr>
          <w:rFonts w:ascii="Times New Roman" w:hAnsi="Times New Roman"/>
          <w:color w:val="000000"/>
          <w:sz w:val="20"/>
          <w:highlight w:val="white"/>
        </w:rPr>
      </w:pPr>
      <w:r>
        <w:rPr>
          <w:rFonts w:ascii="Times New Roman" w:hAnsi="Times New Roman"/>
          <w:color w:val="000000"/>
          <w:sz w:val="20"/>
          <w:highlight w:val="white"/>
        </w:rPr>
        <w:t>Portions of the proxy statement relating to STRATA Skin Sciences, Inc.’s 2023 Annual Meeting of Stockholders are incorporated by reference into Part III of this Annual Report on Form 10-K.</w:t>
      </w:r>
    </w:p>
    <w:p>
      <w:pPr>
        <w:pStyle w:val="HorizontalLine"/>
        <w:spacing w:before="0" w:after="0"/>
        <w:jc w:val="left"/>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bookmarkStart w:id="0" w:name="TABLEOFCONTENTS"/>
      <w:bookmarkEnd w:id="0"/>
      <w:r>
        <w:rPr>
          <w:rFonts w:ascii="Times New Roman" w:hAnsi="Times New Roman"/>
          <w:b/>
          <w:color w:val="000000"/>
          <w:sz w:val="20"/>
        </w:rPr>
        <w:t>TABLE OF CONTENTS</w:t>
      </w:r>
    </w:p>
    <w:p>
      <w:pPr>
        <w:pStyle w:val="TextBody"/>
        <w:spacing w:before="0" w:after="0"/>
        <w:jc w:val="center"/>
        <w:rPr/>
      </w:pPr>
      <w:r>
        <w:rPr/>
      </w:r>
    </w:p>
    <w:tbl>
      <w:tblPr>
        <w:tblW w:w="10205" w:type="dxa"/>
        <w:jc w:val="left"/>
        <w:tblInd w:w="0" w:type="dxa"/>
        <w:tblCellMar>
          <w:top w:w="0" w:type="dxa"/>
          <w:left w:w="0" w:type="dxa"/>
          <w:bottom w:w="0" w:type="dxa"/>
          <w:right w:w="0" w:type="dxa"/>
        </w:tblCellMar>
      </w:tblPr>
      <w:tblGrid>
        <w:gridCol w:w="796"/>
        <w:gridCol w:w="8878"/>
        <w:gridCol w:w="531"/>
      </w:tblGrid>
      <w:tr>
        <w:trPr/>
        <w:tc>
          <w:tcPr>
            <w:tcW w:w="9674" w:type="dxa"/>
            <w:gridSpan w:val="2"/>
            <w:tcBorders/>
            <w:shd w:fill="auto" w:val="clear"/>
            <w:vAlign w:val="center"/>
          </w:tcPr>
          <w:p>
            <w:pPr>
              <w:pStyle w:val="TableContents"/>
              <w:spacing w:before="0" w:after="283"/>
              <w:rPr/>
            </w:pPr>
            <w:r>
              <w:rPr/>
            </w:r>
          </w:p>
        </w:tc>
        <w:tc>
          <w:tcPr>
            <w:tcW w:w="531" w:type="dxa"/>
            <w:tcBorders>
              <w:bottom w:val="single" w:sz="12" w:space="0" w:color="000000"/>
            </w:tcBorders>
            <w:shd w:fill="auto" w:val="clear"/>
            <w:tcMar>
              <w:bottom w:w="28" w:type="dxa"/>
            </w:tcMar>
            <w:vAlign w:val="center"/>
          </w:tcPr>
          <w:p>
            <w:pPr>
              <w:pStyle w:val="TableContents"/>
              <w:spacing w:before="0" w:after="0"/>
              <w:jc w:val="center"/>
              <w:rPr>
                <w:b/>
              </w:rPr>
            </w:pPr>
            <w:r>
              <w:rPr>
                <w:b/>
              </w:rPr>
              <w:t>Page</w:t>
            </w:r>
          </w:p>
        </w:tc>
      </w:tr>
      <w:tr>
        <w:trPr/>
        <w:tc>
          <w:tcPr>
            <w:tcW w:w="9674" w:type="dxa"/>
            <w:gridSpan w:val="2"/>
            <w:tcBorders/>
            <w:shd w:fill="CCEEFF" w:val="clear"/>
            <w:vAlign w:val="center"/>
          </w:tcPr>
          <w:p>
            <w:pPr>
              <w:pStyle w:val="TableContents"/>
              <w:spacing w:before="0" w:after="0"/>
              <w:jc w:val="center"/>
              <w:rPr/>
            </w:pPr>
            <w:hyperlink w:anchor="PART1">
              <w:r>
                <w:rPr>
                  <w:rStyle w:val="InternetLink"/>
                  <w:b/>
                </w:rPr>
                <w:t>PART I</w:t>
              </w:r>
            </w:hyperlink>
          </w:p>
        </w:tc>
        <w:tc>
          <w:tcPr>
            <w:tcW w:w="531" w:type="dxa"/>
            <w:tcBorders/>
            <w:shd w:fill="CCEEFF" w:val="clear"/>
            <w:vAlign w:val="center"/>
          </w:tcPr>
          <w:p>
            <w:pPr>
              <w:pStyle w:val="TableContents"/>
              <w:spacing w:before="0" w:after="283"/>
              <w:jc w:val="center"/>
              <w:rPr/>
            </w:pPr>
            <w:r>
              <w:rPr/>
              <w:t>4</w:t>
            </w:r>
          </w:p>
        </w:tc>
      </w:tr>
      <w:tr>
        <w:trPr/>
        <w:tc>
          <w:tcPr>
            <w:tcW w:w="9674" w:type="dxa"/>
            <w:gridSpan w:val="2"/>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796" w:type="dxa"/>
            <w:tcBorders/>
            <w:shd w:fill="auto" w:val="clear"/>
            <w:vAlign w:val="center"/>
          </w:tcPr>
          <w:p>
            <w:pPr>
              <w:pStyle w:val="TableContents"/>
              <w:spacing w:before="0" w:after="283"/>
              <w:rPr/>
            </w:pPr>
            <w:r>
              <w:rPr/>
              <w:t> </w:t>
            </w:r>
          </w:p>
        </w:tc>
        <w:tc>
          <w:tcPr>
            <w:tcW w:w="8878" w:type="dxa"/>
            <w:tcBorders/>
            <w:shd w:fill="auto" w:val="clear"/>
            <w:vAlign w:val="center"/>
          </w:tcPr>
          <w:p>
            <w:pPr>
              <w:pStyle w:val="TableContents"/>
              <w:spacing w:before="0" w:after="283"/>
              <w:rPr/>
            </w:pPr>
            <w:r>
              <w:rPr/>
              <w:t> </w:t>
            </w:r>
          </w:p>
        </w:tc>
        <w:tc>
          <w:tcPr>
            <w:tcW w:w="531" w:type="dxa"/>
            <w:tcBorders/>
            <w:shd w:fill="auto" w:val="clear"/>
            <w:vAlign w:val="center"/>
          </w:tcPr>
          <w:p>
            <w:pPr>
              <w:pStyle w:val="TableContents"/>
              <w:spacing w:before="0" w:after="283"/>
              <w:rPr/>
            </w:pPr>
            <w:r>
              <w:rPr/>
              <w:t> </w:t>
            </w:r>
          </w:p>
        </w:tc>
      </w:tr>
      <w:tr>
        <w:trPr/>
        <w:tc>
          <w:tcPr>
            <w:tcW w:w="796" w:type="dxa"/>
            <w:tcBorders/>
            <w:shd w:fill="CCEEFF" w:val="clear"/>
            <w:vAlign w:val="center"/>
          </w:tcPr>
          <w:p>
            <w:pPr>
              <w:pStyle w:val="TableContents"/>
              <w:spacing w:before="0" w:after="0"/>
              <w:jc w:val="both"/>
              <w:rPr/>
            </w:pPr>
            <w:r>
              <w:rPr/>
              <w:t>Item 1.</w:t>
            </w:r>
          </w:p>
        </w:tc>
        <w:tc>
          <w:tcPr>
            <w:tcW w:w="8878" w:type="dxa"/>
            <w:tcBorders/>
            <w:shd w:fill="CCEEFF" w:val="clear"/>
            <w:vAlign w:val="center"/>
          </w:tcPr>
          <w:p>
            <w:pPr>
              <w:pStyle w:val="TableContents"/>
              <w:spacing w:before="0" w:after="0"/>
              <w:jc w:val="both"/>
              <w:rPr/>
            </w:pPr>
            <w:hyperlink w:anchor="BUSINESS">
              <w:r>
                <w:rPr>
                  <w:rStyle w:val="InternetLink"/>
                </w:rPr>
                <w:t>Business</w:t>
              </w:r>
            </w:hyperlink>
          </w:p>
        </w:tc>
        <w:tc>
          <w:tcPr>
            <w:tcW w:w="531" w:type="dxa"/>
            <w:tcBorders/>
            <w:shd w:fill="CCEEFF" w:val="clear"/>
            <w:vAlign w:val="center"/>
          </w:tcPr>
          <w:p>
            <w:pPr>
              <w:pStyle w:val="TableContents"/>
              <w:spacing w:before="0" w:after="0"/>
              <w:jc w:val="center"/>
              <w:rPr/>
            </w:pPr>
            <w:r>
              <w:rPr/>
              <w:t xml:space="preserve">4 </w:t>
            </w:r>
          </w:p>
        </w:tc>
      </w:tr>
      <w:tr>
        <w:trPr/>
        <w:tc>
          <w:tcPr>
            <w:tcW w:w="796" w:type="dxa"/>
            <w:tcBorders/>
            <w:shd w:fill="auto" w:val="clear"/>
            <w:vAlign w:val="center"/>
          </w:tcPr>
          <w:p>
            <w:pPr>
              <w:pStyle w:val="TableContents"/>
              <w:spacing w:before="0" w:after="0"/>
              <w:jc w:val="both"/>
              <w:rPr/>
            </w:pPr>
            <w:r>
              <w:rPr/>
              <w:t>Item 1A.</w:t>
            </w:r>
          </w:p>
        </w:tc>
        <w:tc>
          <w:tcPr>
            <w:tcW w:w="8878" w:type="dxa"/>
            <w:tcBorders/>
            <w:shd w:fill="auto" w:val="clear"/>
            <w:vAlign w:val="center"/>
          </w:tcPr>
          <w:p>
            <w:pPr>
              <w:pStyle w:val="TableContents"/>
              <w:spacing w:before="0" w:after="0"/>
              <w:jc w:val="both"/>
              <w:rPr/>
            </w:pPr>
            <w:hyperlink w:anchor="RISKFACTORS">
              <w:r>
                <w:rPr>
                  <w:rStyle w:val="InternetLink"/>
                </w:rPr>
                <w:t>Risk Factors</w:t>
              </w:r>
            </w:hyperlink>
          </w:p>
        </w:tc>
        <w:tc>
          <w:tcPr>
            <w:tcW w:w="531" w:type="dxa"/>
            <w:tcBorders/>
            <w:shd w:fill="auto" w:val="clear"/>
            <w:vAlign w:val="center"/>
          </w:tcPr>
          <w:p>
            <w:pPr>
              <w:pStyle w:val="TableContents"/>
              <w:spacing w:before="0" w:after="0"/>
              <w:jc w:val="center"/>
              <w:rPr/>
            </w:pPr>
            <w:r>
              <w:rPr/>
              <w:t>15</w:t>
            </w:r>
          </w:p>
        </w:tc>
      </w:tr>
      <w:tr>
        <w:trPr/>
        <w:tc>
          <w:tcPr>
            <w:tcW w:w="796" w:type="dxa"/>
            <w:tcBorders/>
            <w:shd w:fill="CCEEFF" w:val="clear"/>
            <w:vAlign w:val="center"/>
          </w:tcPr>
          <w:p>
            <w:pPr>
              <w:pStyle w:val="TableContents"/>
              <w:spacing w:before="0" w:after="0"/>
              <w:jc w:val="both"/>
              <w:rPr/>
            </w:pPr>
            <w:r>
              <w:rPr/>
              <w:t>Item 1B.</w:t>
            </w:r>
          </w:p>
        </w:tc>
        <w:tc>
          <w:tcPr>
            <w:tcW w:w="8878" w:type="dxa"/>
            <w:tcBorders/>
            <w:shd w:fill="CCEEFF" w:val="clear"/>
            <w:vAlign w:val="center"/>
          </w:tcPr>
          <w:p>
            <w:pPr>
              <w:pStyle w:val="TableContents"/>
              <w:spacing w:before="0" w:after="0"/>
              <w:jc w:val="both"/>
              <w:rPr/>
            </w:pPr>
            <w:hyperlink w:anchor="UNRESOLVEDSTAFFCOMMENTS">
              <w:r>
                <w:rPr>
                  <w:rStyle w:val="InternetLink"/>
                </w:rPr>
                <w:t>Unresolved Staff Comments</w:t>
              </w:r>
            </w:hyperlink>
          </w:p>
        </w:tc>
        <w:tc>
          <w:tcPr>
            <w:tcW w:w="531" w:type="dxa"/>
            <w:tcBorders/>
            <w:shd w:fill="CCEEFF" w:val="clear"/>
            <w:vAlign w:val="center"/>
          </w:tcPr>
          <w:p>
            <w:pPr>
              <w:pStyle w:val="TableContents"/>
              <w:spacing w:before="0" w:after="283"/>
              <w:jc w:val="center"/>
              <w:rPr/>
            </w:pPr>
            <w:r>
              <w:rPr/>
              <w:t>39</w:t>
            </w:r>
          </w:p>
        </w:tc>
      </w:tr>
      <w:tr>
        <w:trPr/>
        <w:tc>
          <w:tcPr>
            <w:tcW w:w="796" w:type="dxa"/>
            <w:tcBorders/>
            <w:shd w:fill="auto" w:val="clear"/>
            <w:vAlign w:val="center"/>
          </w:tcPr>
          <w:p>
            <w:pPr>
              <w:pStyle w:val="TableContents"/>
              <w:spacing w:before="0" w:after="0"/>
              <w:jc w:val="both"/>
              <w:rPr/>
            </w:pPr>
            <w:r>
              <w:rPr/>
              <w:t>Item 2.</w:t>
            </w:r>
          </w:p>
        </w:tc>
        <w:tc>
          <w:tcPr>
            <w:tcW w:w="8878" w:type="dxa"/>
            <w:tcBorders/>
            <w:shd w:fill="auto" w:val="clear"/>
            <w:vAlign w:val="center"/>
          </w:tcPr>
          <w:p>
            <w:pPr>
              <w:pStyle w:val="TableContents"/>
              <w:spacing w:before="0" w:after="0"/>
              <w:jc w:val="both"/>
              <w:rPr/>
            </w:pPr>
            <w:hyperlink w:anchor="PROPERTIES">
              <w:r>
                <w:rPr>
                  <w:rStyle w:val="InternetLink"/>
                </w:rPr>
                <w:t>Properties</w:t>
              </w:r>
            </w:hyperlink>
          </w:p>
        </w:tc>
        <w:tc>
          <w:tcPr>
            <w:tcW w:w="531" w:type="dxa"/>
            <w:tcBorders/>
            <w:shd w:fill="auto" w:val="clear"/>
            <w:vAlign w:val="center"/>
          </w:tcPr>
          <w:p>
            <w:pPr>
              <w:pStyle w:val="TableContents"/>
              <w:spacing w:before="0" w:after="283"/>
              <w:jc w:val="center"/>
              <w:rPr/>
            </w:pPr>
            <w:r>
              <w:rPr/>
              <w:t>39</w:t>
            </w:r>
          </w:p>
        </w:tc>
      </w:tr>
      <w:tr>
        <w:trPr/>
        <w:tc>
          <w:tcPr>
            <w:tcW w:w="796" w:type="dxa"/>
            <w:tcBorders/>
            <w:shd w:fill="CCEEFF" w:val="clear"/>
            <w:vAlign w:val="center"/>
          </w:tcPr>
          <w:p>
            <w:pPr>
              <w:pStyle w:val="TableContents"/>
              <w:spacing w:before="0" w:after="0"/>
              <w:jc w:val="both"/>
              <w:rPr/>
            </w:pPr>
            <w:r>
              <w:rPr/>
              <w:t>Item 3.</w:t>
            </w:r>
          </w:p>
        </w:tc>
        <w:tc>
          <w:tcPr>
            <w:tcW w:w="8878" w:type="dxa"/>
            <w:tcBorders/>
            <w:shd w:fill="CCEEFF" w:val="clear"/>
            <w:vAlign w:val="center"/>
          </w:tcPr>
          <w:p>
            <w:pPr>
              <w:pStyle w:val="TableContents"/>
              <w:spacing w:before="0" w:after="0"/>
              <w:jc w:val="both"/>
              <w:rPr/>
            </w:pPr>
            <w:hyperlink w:anchor="LEGALPROCEEDINGS">
              <w:r>
                <w:rPr>
                  <w:rStyle w:val="InternetLink"/>
                </w:rPr>
                <w:t>Legal Proceedings</w:t>
              </w:r>
            </w:hyperlink>
          </w:p>
        </w:tc>
        <w:tc>
          <w:tcPr>
            <w:tcW w:w="531" w:type="dxa"/>
            <w:tcBorders/>
            <w:shd w:fill="CCEEFF" w:val="clear"/>
            <w:vAlign w:val="center"/>
          </w:tcPr>
          <w:p>
            <w:pPr>
              <w:pStyle w:val="TableContents"/>
              <w:spacing w:before="0" w:after="283"/>
              <w:jc w:val="center"/>
              <w:rPr/>
            </w:pPr>
            <w:r>
              <w:rPr/>
              <w:t>39</w:t>
            </w:r>
          </w:p>
        </w:tc>
      </w:tr>
      <w:tr>
        <w:trPr/>
        <w:tc>
          <w:tcPr>
            <w:tcW w:w="796" w:type="dxa"/>
            <w:tcBorders/>
            <w:shd w:fill="auto" w:val="clear"/>
            <w:vAlign w:val="center"/>
          </w:tcPr>
          <w:p>
            <w:pPr>
              <w:pStyle w:val="TableContents"/>
              <w:spacing w:before="0" w:after="0"/>
              <w:jc w:val="both"/>
              <w:rPr/>
            </w:pPr>
            <w:r>
              <w:rPr/>
              <w:t>Item 4.</w:t>
            </w:r>
          </w:p>
        </w:tc>
        <w:tc>
          <w:tcPr>
            <w:tcW w:w="8878" w:type="dxa"/>
            <w:tcBorders/>
            <w:shd w:fill="auto" w:val="clear"/>
            <w:vAlign w:val="center"/>
          </w:tcPr>
          <w:p>
            <w:pPr>
              <w:pStyle w:val="TableContents"/>
              <w:spacing w:before="0" w:after="0"/>
              <w:jc w:val="both"/>
              <w:rPr/>
            </w:pPr>
            <w:hyperlink w:anchor="MINESAFETYDISCLOSURES">
              <w:r>
                <w:rPr>
                  <w:rStyle w:val="InternetLink"/>
                </w:rPr>
                <w:t>Mine Safety Disclosures</w:t>
              </w:r>
            </w:hyperlink>
          </w:p>
        </w:tc>
        <w:tc>
          <w:tcPr>
            <w:tcW w:w="531" w:type="dxa"/>
            <w:tcBorders/>
            <w:shd w:fill="auto" w:val="clear"/>
            <w:vAlign w:val="center"/>
          </w:tcPr>
          <w:p>
            <w:pPr>
              <w:pStyle w:val="TableContents"/>
              <w:spacing w:before="0" w:after="283"/>
              <w:jc w:val="center"/>
              <w:rPr/>
            </w:pPr>
            <w:r>
              <w:rPr/>
              <w:t>40</w:t>
            </w:r>
          </w:p>
        </w:tc>
      </w:tr>
      <w:tr>
        <w:trPr/>
        <w:tc>
          <w:tcPr>
            <w:tcW w:w="9674" w:type="dxa"/>
            <w:gridSpan w:val="2"/>
            <w:tcBorders/>
            <w:shd w:fill="CCEEFF" w:val="clear"/>
            <w:vAlign w:val="center"/>
          </w:tcPr>
          <w:p>
            <w:pPr>
              <w:pStyle w:val="TableContents"/>
              <w:spacing w:before="0" w:after="283"/>
              <w:rPr>
                <w:sz w:val="4"/>
                <w:szCs w:val="4"/>
              </w:rPr>
            </w:pPr>
            <w:r>
              <w:rPr>
                <w:sz w:val="4"/>
                <w:szCs w:val="4"/>
              </w:rPr>
            </w:r>
          </w:p>
        </w:tc>
        <w:tc>
          <w:tcPr>
            <w:tcW w:w="531" w:type="dxa"/>
            <w:tcBorders/>
            <w:shd w:fill="CCEEFF" w:val="clear"/>
            <w:vAlign w:val="center"/>
          </w:tcPr>
          <w:p>
            <w:pPr>
              <w:pStyle w:val="TableContents"/>
              <w:spacing w:before="0" w:after="283"/>
              <w:rPr>
                <w:sz w:val="4"/>
                <w:szCs w:val="4"/>
              </w:rPr>
            </w:pPr>
            <w:r>
              <w:rPr>
                <w:sz w:val="4"/>
                <w:szCs w:val="4"/>
              </w:rPr>
            </w:r>
          </w:p>
        </w:tc>
      </w:tr>
      <w:tr>
        <w:trPr/>
        <w:tc>
          <w:tcPr>
            <w:tcW w:w="9674" w:type="dxa"/>
            <w:gridSpan w:val="2"/>
            <w:tcBorders/>
            <w:shd w:fill="CCEEFF" w:val="clear"/>
            <w:vAlign w:val="center"/>
          </w:tcPr>
          <w:p>
            <w:pPr>
              <w:pStyle w:val="TableContents"/>
              <w:spacing w:before="0" w:after="283"/>
              <w:rPr/>
            </w:pPr>
            <w:r>
              <w:rPr/>
              <w:t> </w:t>
            </w:r>
          </w:p>
        </w:tc>
        <w:tc>
          <w:tcPr>
            <w:tcW w:w="531" w:type="dxa"/>
            <w:tcBorders/>
            <w:shd w:fill="CCEEFF" w:val="clear"/>
            <w:vAlign w:val="center"/>
          </w:tcPr>
          <w:p>
            <w:pPr>
              <w:pStyle w:val="TableContents"/>
              <w:spacing w:before="0" w:after="283"/>
              <w:jc w:val="center"/>
              <w:rPr/>
            </w:pPr>
            <w:r>
              <w:rPr/>
              <w:t> </w:t>
            </w:r>
          </w:p>
        </w:tc>
      </w:tr>
      <w:tr>
        <w:trPr/>
        <w:tc>
          <w:tcPr>
            <w:tcW w:w="9674" w:type="dxa"/>
            <w:gridSpan w:val="2"/>
            <w:tcBorders/>
            <w:shd w:fill="auto" w:val="clear"/>
            <w:vAlign w:val="center"/>
          </w:tcPr>
          <w:p>
            <w:pPr>
              <w:pStyle w:val="TableContents"/>
              <w:spacing w:before="0" w:after="0"/>
              <w:jc w:val="center"/>
              <w:rPr/>
            </w:pPr>
            <w:hyperlink w:anchor="PART2">
              <w:r>
                <w:rPr>
                  <w:rStyle w:val="InternetLink"/>
                  <w:b/>
                </w:rPr>
                <w:t>PART II</w:t>
              </w:r>
            </w:hyperlink>
          </w:p>
        </w:tc>
        <w:tc>
          <w:tcPr>
            <w:tcW w:w="531" w:type="dxa"/>
            <w:tcBorders/>
            <w:shd w:fill="auto" w:val="clear"/>
            <w:vAlign w:val="center"/>
          </w:tcPr>
          <w:p>
            <w:pPr>
              <w:pStyle w:val="TableContents"/>
              <w:spacing w:before="0" w:after="283"/>
              <w:jc w:val="center"/>
              <w:rPr/>
            </w:pPr>
            <w:r>
              <w:rPr/>
              <w:t>40</w:t>
            </w:r>
          </w:p>
        </w:tc>
      </w:tr>
      <w:tr>
        <w:trPr/>
        <w:tc>
          <w:tcPr>
            <w:tcW w:w="9674" w:type="dxa"/>
            <w:gridSpan w:val="2"/>
            <w:tcBorders/>
            <w:shd w:fill="CCEEFF" w:val="clear"/>
            <w:vAlign w:val="center"/>
          </w:tcPr>
          <w:p>
            <w:pPr>
              <w:pStyle w:val="TableContents"/>
              <w:spacing w:before="0" w:after="283"/>
              <w:rPr>
                <w:sz w:val="4"/>
                <w:szCs w:val="4"/>
              </w:rPr>
            </w:pPr>
            <w:r>
              <w:rPr>
                <w:sz w:val="4"/>
                <w:szCs w:val="4"/>
              </w:rPr>
            </w:r>
          </w:p>
        </w:tc>
        <w:tc>
          <w:tcPr>
            <w:tcW w:w="531" w:type="dxa"/>
            <w:tcBorders/>
            <w:shd w:fill="CCEEFF" w:val="clear"/>
            <w:vAlign w:val="center"/>
          </w:tcPr>
          <w:p>
            <w:pPr>
              <w:pStyle w:val="TableContents"/>
              <w:spacing w:before="0" w:after="283"/>
              <w:jc w:val="center"/>
              <w:rPr/>
            </w:pPr>
            <w:r>
              <w:rPr/>
              <w:t> </w:t>
            </w:r>
          </w:p>
        </w:tc>
      </w:tr>
      <w:tr>
        <w:trPr/>
        <w:tc>
          <w:tcPr>
            <w:tcW w:w="796" w:type="dxa"/>
            <w:tcBorders/>
            <w:shd w:fill="auto" w:val="clear"/>
            <w:vAlign w:val="center"/>
          </w:tcPr>
          <w:p>
            <w:pPr>
              <w:pStyle w:val="TableContents"/>
              <w:spacing w:before="0" w:after="0"/>
              <w:jc w:val="both"/>
              <w:rPr/>
            </w:pPr>
            <w:r>
              <w:rPr/>
              <w:t>Item 5.</w:t>
            </w:r>
          </w:p>
        </w:tc>
        <w:tc>
          <w:tcPr>
            <w:tcW w:w="8878" w:type="dxa"/>
            <w:tcBorders/>
            <w:shd w:fill="auto" w:val="clear"/>
            <w:vAlign w:val="center"/>
          </w:tcPr>
          <w:p>
            <w:pPr>
              <w:pStyle w:val="TableContents"/>
              <w:spacing w:before="0" w:after="0"/>
              <w:jc w:val="both"/>
              <w:rPr/>
            </w:pPr>
            <w:hyperlink w:anchor="MARKETFORREGISTRANTSCOMMO">
              <w:r>
                <w:rPr>
                  <w:rStyle w:val="InternetLink"/>
                </w:rPr>
                <w:t>Market for Registrant’s Common Equity, Related Stockholder Matters and Issuer Purchases of Equity Securities</w:t>
              </w:r>
            </w:hyperlink>
          </w:p>
        </w:tc>
        <w:tc>
          <w:tcPr>
            <w:tcW w:w="531" w:type="dxa"/>
            <w:tcBorders/>
            <w:shd w:fill="auto" w:val="clear"/>
            <w:vAlign w:val="center"/>
          </w:tcPr>
          <w:p>
            <w:pPr>
              <w:pStyle w:val="TableContents"/>
              <w:spacing w:before="0" w:after="0"/>
              <w:jc w:val="center"/>
              <w:rPr/>
            </w:pPr>
            <w:r>
              <w:rPr/>
              <w:t xml:space="preserve">40 </w:t>
            </w:r>
          </w:p>
        </w:tc>
      </w:tr>
      <w:tr>
        <w:trPr/>
        <w:tc>
          <w:tcPr>
            <w:tcW w:w="796" w:type="dxa"/>
            <w:tcBorders/>
            <w:shd w:fill="CCEEFF" w:val="clear"/>
            <w:vAlign w:val="center"/>
          </w:tcPr>
          <w:p>
            <w:pPr>
              <w:pStyle w:val="TableContents"/>
              <w:spacing w:before="0" w:after="0"/>
              <w:jc w:val="both"/>
              <w:rPr/>
            </w:pPr>
            <w:r>
              <w:rPr/>
              <w:t>Item 6.</w:t>
            </w:r>
          </w:p>
        </w:tc>
        <w:tc>
          <w:tcPr>
            <w:tcW w:w="8878" w:type="dxa"/>
            <w:tcBorders/>
            <w:shd w:fill="CCEEFF" w:val="clear"/>
            <w:vAlign w:val="center"/>
          </w:tcPr>
          <w:p>
            <w:pPr>
              <w:pStyle w:val="TableContents"/>
              <w:spacing w:before="0" w:after="0"/>
              <w:jc w:val="both"/>
              <w:rPr/>
            </w:pPr>
            <w:hyperlink w:anchor="RESERVED">
              <w:r>
                <w:rPr>
                  <w:rStyle w:val="InternetLink"/>
                </w:rPr>
                <w:t>[Reserved]</w:t>
              </w:r>
            </w:hyperlink>
          </w:p>
        </w:tc>
        <w:tc>
          <w:tcPr>
            <w:tcW w:w="531" w:type="dxa"/>
            <w:tcBorders/>
            <w:shd w:fill="CCEEFF" w:val="clear"/>
            <w:vAlign w:val="center"/>
          </w:tcPr>
          <w:p>
            <w:pPr>
              <w:pStyle w:val="TableContents"/>
              <w:spacing w:before="0" w:after="283"/>
              <w:jc w:val="center"/>
              <w:rPr/>
            </w:pPr>
            <w:r>
              <w:rPr/>
              <w:t>41</w:t>
            </w:r>
          </w:p>
        </w:tc>
      </w:tr>
      <w:tr>
        <w:trPr/>
        <w:tc>
          <w:tcPr>
            <w:tcW w:w="796" w:type="dxa"/>
            <w:tcBorders/>
            <w:shd w:fill="auto" w:val="clear"/>
            <w:vAlign w:val="center"/>
          </w:tcPr>
          <w:p>
            <w:pPr>
              <w:pStyle w:val="TableContents"/>
              <w:spacing w:before="0" w:after="0"/>
              <w:jc w:val="both"/>
              <w:rPr/>
            </w:pPr>
            <w:r>
              <w:rPr/>
              <w:t>Item 7.</w:t>
            </w:r>
          </w:p>
        </w:tc>
        <w:tc>
          <w:tcPr>
            <w:tcW w:w="8878" w:type="dxa"/>
            <w:tcBorders/>
            <w:shd w:fill="auto" w:val="clear"/>
            <w:vAlign w:val="center"/>
          </w:tcPr>
          <w:p>
            <w:pPr>
              <w:pStyle w:val="TableContents"/>
              <w:spacing w:before="0" w:after="0"/>
              <w:jc w:val="both"/>
              <w:rPr/>
            </w:pPr>
            <w:hyperlink w:anchor="MANAGEMENTSDISCUSSIONANDA">
              <w:r>
                <w:rPr>
                  <w:rStyle w:val="InternetLink"/>
                </w:rPr>
                <w:t>Management’s Discussion and Analysis of Financial Condition and Results of Operations</w:t>
              </w:r>
            </w:hyperlink>
          </w:p>
        </w:tc>
        <w:tc>
          <w:tcPr>
            <w:tcW w:w="531" w:type="dxa"/>
            <w:tcBorders/>
            <w:shd w:fill="auto" w:val="clear"/>
            <w:vAlign w:val="center"/>
          </w:tcPr>
          <w:p>
            <w:pPr>
              <w:pStyle w:val="TableContents"/>
              <w:spacing w:before="0" w:after="283"/>
              <w:jc w:val="center"/>
              <w:rPr/>
            </w:pPr>
            <w:r>
              <w:rPr/>
              <w:t>41</w:t>
            </w:r>
          </w:p>
        </w:tc>
      </w:tr>
      <w:tr>
        <w:trPr/>
        <w:tc>
          <w:tcPr>
            <w:tcW w:w="796" w:type="dxa"/>
            <w:tcBorders/>
            <w:shd w:fill="CCEEFF" w:val="clear"/>
            <w:vAlign w:val="center"/>
          </w:tcPr>
          <w:p>
            <w:pPr>
              <w:pStyle w:val="TableContents"/>
              <w:spacing w:before="0" w:after="0"/>
              <w:jc w:val="both"/>
              <w:rPr/>
            </w:pPr>
            <w:r>
              <w:rPr/>
              <w:t>Item 7A.</w:t>
            </w:r>
          </w:p>
        </w:tc>
        <w:tc>
          <w:tcPr>
            <w:tcW w:w="8878" w:type="dxa"/>
            <w:tcBorders/>
            <w:shd w:fill="CCEEFF" w:val="clear"/>
            <w:vAlign w:val="center"/>
          </w:tcPr>
          <w:p>
            <w:pPr>
              <w:pStyle w:val="TableContents"/>
              <w:spacing w:before="0" w:after="0"/>
              <w:jc w:val="both"/>
              <w:rPr/>
            </w:pPr>
            <w:hyperlink w:anchor="QUANTITATIVEANDQUALITATIV">
              <w:r>
                <w:rPr>
                  <w:rStyle w:val="InternetLink"/>
                </w:rPr>
                <w:t>Quantitative and Qualitative Disclosures About Market Risk</w:t>
              </w:r>
            </w:hyperlink>
          </w:p>
        </w:tc>
        <w:tc>
          <w:tcPr>
            <w:tcW w:w="531" w:type="dxa"/>
            <w:tcBorders/>
            <w:shd w:fill="CCEEFF" w:val="clear"/>
            <w:vAlign w:val="center"/>
          </w:tcPr>
          <w:p>
            <w:pPr>
              <w:pStyle w:val="TableContents"/>
              <w:spacing w:before="0" w:after="283"/>
              <w:jc w:val="center"/>
              <w:rPr/>
            </w:pPr>
            <w:r>
              <w:rPr/>
              <w:t>55</w:t>
            </w:r>
          </w:p>
        </w:tc>
      </w:tr>
      <w:tr>
        <w:trPr/>
        <w:tc>
          <w:tcPr>
            <w:tcW w:w="796" w:type="dxa"/>
            <w:tcBorders/>
            <w:shd w:fill="auto" w:val="clear"/>
            <w:vAlign w:val="center"/>
          </w:tcPr>
          <w:p>
            <w:pPr>
              <w:pStyle w:val="TableContents"/>
              <w:spacing w:before="0" w:after="0"/>
              <w:jc w:val="both"/>
              <w:rPr/>
            </w:pPr>
            <w:r>
              <w:rPr/>
              <w:t>Item 8.</w:t>
            </w:r>
          </w:p>
        </w:tc>
        <w:tc>
          <w:tcPr>
            <w:tcW w:w="8878" w:type="dxa"/>
            <w:tcBorders/>
            <w:shd w:fill="auto" w:val="clear"/>
            <w:vAlign w:val="center"/>
          </w:tcPr>
          <w:p>
            <w:pPr>
              <w:pStyle w:val="TableContents"/>
              <w:spacing w:before="0" w:after="0"/>
              <w:jc w:val="both"/>
              <w:rPr/>
            </w:pPr>
            <w:hyperlink w:anchor="FINANCIALSTATEMENTSANDSUP">
              <w:r>
                <w:rPr>
                  <w:rStyle w:val="InternetLink"/>
                </w:rPr>
                <w:t>Financial Statements and Supplementary Data</w:t>
              </w:r>
            </w:hyperlink>
          </w:p>
        </w:tc>
        <w:tc>
          <w:tcPr>
            <w:tcW w:w="531" w:type="dxa"/>
            <w:tcBorders/>
            <w:shd w:fill="auto" w:val="clear"/>
            <w:vAlign w:val="center"/>
          </w:tcPr>
          <w:p>
            <w:pPr>
              <w:pStyle w:val="TableContents"/>
              <w:spacing w:before="0" w:after="283"/>
              <w:jc w:val="center"/>
              <w:rPr/>
            </w:pPr>
            <w:r>
              <w:rPr/>
              <w:t>56</w:t>
            </w:r>
          </w:p>
        </w:tc>
      </w:tr>
      <w:tr>
        <w:trPr/>
        <w:tc>
          <w:tcPr>
            <w:tcW w:w="796" w:type="dxa"/>
            <w:tcBorders/>
            <w:shd w:fill="CCEEFF" w:val="clear"/>
            <w:vAlign w:val="center"/>
          </w:tcPr>
          <w:p>
            <w:pPr>
              <w:pStyle w:val="TableContents"/>
              <w:spacing w:before="0" w:after="0"/>
              <w:jc w:val="both"/>
              <w:rPr/>
            </w:pPr>
            <w:r>
              <w:rPr/>
              <w:t>Item 9.</w:t>
            </w:r>
          </w:p>
        </w:tc>
        <w:tc>
          <w:tcPr>
            <w:tcW w:w="8878" w:type="dxa"/>
            <w:tcBorders/>
            <w:shd w:fill="CCEEFF" w:val="clear"/>
            <w:vAlign w:val="center"/>
          </w:tcPr>
          <w:p>
            <w:pPr>
              <w:pStyle w:val="TableContents"/>
              <w:spacing w:before="0" w:after="0"/>
              <w:jc w:val="both"/>
              <w:rPr/>
            </w:pPr>
            <w:hyperlink w:anchor="CHANGESINANDDISAGREEMENTS">
              <w:r>
                <w:rPr>
                  <w:rStyle w:val="InternetLink"/>
                </w:rPr>
                <w:t>Changes in and Disagreements with Accountants on Accounting and Financial Disclosure</w:t>
              </w:r>
            </w:hyperlink>
          </w:p>
        </w:tc>
        <w:tc>
          <w:tcPr>
            <w:tcW w:w="531" w:type="dxa"/>
            <w:tcBorders/>
            <w:shd w:fill="CCEEFF" w:val="clear"/>
            <w:vAlign w:val="center"/>
          </w:tcPr>
          <w:p>
            <w:pPr>
              <w:pStyle w:val="TableContents"/>
              <w:spacing w:before="0" w:after="283"/>
              <w:jc w:val="center"/>
              <w:rPr/>
            </w:pPr>
            <w:r>
              <w:rPr/>
              <w:t>56</w:t>
            </w:r>
          </w:p>
        </w:tc>
      </w:tr>
      <w:tr>
        <w:trPr/>
        <w:tc>
          <w:tcPr>
            <w:tcW w:w="796" w:type="dxa"/>
            <w:tcBorders/>
            <w:shd w:fill="auto" w:val="clear"/>
            <w:vAlign w:val="center"/>
          </w:tcPr>
          <w:p>
            <w:pPr>
              <w:pStyle w:val="TableContents"/>
              <w:spacing w:before="0" w:after="0"/>
              <w:jc w:val="both"/>
              <w:rPr/>
            </w:pPr>
            <w:r>
              <w:rPr/>
              <w:t>Item 9A.</w:t>
            </w:r>
          </w:p>
        </w:tc>
        <w:tc>
          <w:tcPr>
            <w:tcW w:w="8878" w:type="dxa"/>
            <w:tcBorders/>
            <w:shd w:fill="auto" w:val="clear"/>
            <w:vAlign w:val="center"/>
          </w:tcPr>
          <w:p>
            <w:pPr>
              <w:pStyle w:val="TableContents"/>
              <w:spacing w:before="0" w:after="0"/>
              <w:jc w:val="both"/>
              <w:rPr/>
            </w:pPr>
            <w:hyperlink w:anchor="CONTROLSANDPROCEDURES">
              <w:r>
                <w:rPr>
                  <w:rStyle w:val="InternetLink"/>
                </w:rPr>
                <w:t>Controls and Procedures</w:t>
              </w:r>
            </w:hyperlink>
          </w:p>
        </w:tc>
        <w:tc>
          <w:tcPr>
            <w:tcW w:w="531" w:type="dxa"/>
            <w:tcBorders/>
            <w:shd w:fill="auto" w:val="clear"/>
            <w:vAlign w:val="center"/>
          </w:tcPr>
          <w:p>
            <w:pPr>
              <w:pStyle w:val="TableContents"/>
              <w:spacing w:before="0" w:after="283"/>
              <w:jc w:val="center"/>
              <w:rPr/>
            </w:pPr>
            <w:r>
              <w:rPr/>
              <w:t>56</w:t>
            </w:r>
          </w:p>
        </w:tc>
      </w:tr>
      <w:tr>
        <w:trPr/>
        <w:tc>
          <w:tcPr>
            <w:tcW w:w="796" w:type="dxa"/>
            <w:tcBorders/>
            <w:shd w:fill="CCEEFF" w:val="clear"/>
            <w:vAlign w:val="center"/>
          </w:tcPr>
          <w:p>
            <w:pPr>
              <w:pStyle w:val="TableContents"/>
              <w:spacing w:before="0" w:after="0"/>
              <w:jc w:val="both"/>
              <w:rPr/>
            </w:pPr>
            <w:r>
              <w:rPr/>
              <w:t>Item 9B.</w:t>
            </w:r>
          </w:p>
        </w:tc>
        <w:tc>
          <w:tcPr>
            <w:tcW w:w="8878" w:type="dxa"/>
            <w:tcBorders/>
            <w:shd w:fill="CCEEFF" w:val="clear"/>
            <w:vAlign w:val="center"/>
          </w:tcPr>
          <w:p>
            <w:pPr>
              <w:pStyle w:val="TableContents"/>
              <w:spacing w:before="0" w:after="0"/>
              <w:jc w:val="both"/>
              <w:rPr/>
            </w:pPr>
            <w:hyperlink w:anchor="OTHERINFORMATION">
              <w:r>
                <w:rPr>
                  <w:rStyle w:val="InternetLink"/>
                </w:rPr>
                <w:t>Other Information</w:t>
              </w:r>
            </w:hyperlink>
          </w:p>
        </w:tc>
        <w:tc>
          <w:tcPr>
            <w:tcW w:w="531" w:type="dxa"/>
            <w:tcBorders/>
            <w:shd w:fill="CCEEFF" w:val="clear"/>
            <w:vAlign w:val="center"/>
          </w:tcPr>
          <w:p>
            <w:pPr>
              <w:pStyle w:val="TableContents"/>
              <w:spacing w:before="0" w:after="283"/>
              <w:jc w:val="center"/>
              <w:rPr/>
            </w:pPr>
            <w:r>
              <w:rPr/>
              <w:t>56</w:t>
            </w:r>
          </w:p>
        </w:tc>
      </w:tr>
      <w:tr>
        <w:trPr/>
        <w:tc>
          <w:tcPr>
            <w:tcW w:w="796" w:type="dxa"/>
            <w:tcBorders/>
            <w:shd w:fill="auto" w:val="clear"/>
            <w:vAlign w:val="center"/>
          </w:tcPr>
          <w:p>
            <w:pPr>
              <w:pStyle w:val="TableContents"/>
              <w:spacing w:before="0" w:after="283"/>
              <w:rPr/>
            </w:pPr>
            <w:r>
              <w:rPr/>
              <w:t>Item 9C.</w:t>
            </w:r>
          </w:p>
        </w:tc>
        <w:tc>
          <w:tcPr>
            <w:tcW w:w="8878" w:type="dxa"/>
            <w:tcBorders/>
            <w:shd w:fill="auto" w:val="clear"/>
            <w:vAlign w:val="center"/>
          </w:tcPr>
          <w:p>
            <w:pPr>
              <w:pStyle w:val="TableContents"/>
              <w:spacing w:before="0" w:after="283"/>
              <w:rPr/>
            </w:pPr>
            <w:hyperlink w:anchor="DISCLOSUREREGARDINGFOREIG">
              <w:r>
                <w:rPr>
                  <w:rStyle w:val="InternetLink"/>
                </w:rPr>
                <w:t>Disclosure Regarding Foreign Jurisdictions that Prevent Inspections</w:t>
              </w:r>
            </w:hyperlink>
          </w:p>
        </w:tc>
        <w:tc>
          <w:tcPr>
            <w:tcW w:w="531" w:type="dxa"/>
            <w:tcBorders/>
            <w:shd w:fill="auto" w:val="clear"/>
            <w:vAlign w:val="center"/>
          </w:tcPr>
          <w:p>
            <w:pPr>
              <w:pStyle w:val="TableContents"/>
              <w:spacing w:before="0" w:after="283"/>
              <w:jc w:val="center"/>
              <w:rPr/>
            </w:pPr>
            <w:r>
              <w:rPr/>
              <w:t>56</w:t>
            </w:r>
          </w:p>
        </w:tc>
      </w:tr>
      <w:tr>
        <w:trPr/>
        <w:tc>
          <w:tcPr>
            <w:tcW w:w="796" w:type="dxa"/>
            <w:tcBorders/>
            <w:shd w:fill="CCEEFF" w:val="clear"/>
            <w:vAlign w:val="center"/>
          </w:tcPr>
          <w:p>
            <w:pPr>
              <w:pStyle w:val="TableContents"/>
              <w:spacing w:before="0" w:after="283"/>
              <w:rPr/>
            </w:pPr>
            <w:r>
              <w:rPr/>
            </w:r>
          </w:p>
        </w:tc>
        <w:tc>
          <w:tcPr>
            <w:tcW w:w="8878" w:type="dxa"/>
            <w:tcBorders/>
            <w:shd w:fill="CCEEFF" w:val="clear"/>
            <w:vAlign w:val="center"/>
          </w:tcPr>
          <w:p>
            <w:pPr>
              <w:pStyle w:val="TableContents"/>
              <w:spacing w:before="0" w:after="283"/>
              <w:rPr/>
            </w:pPr>
            <w:r>
              <w:rPr/>
            </w:r>
          </w:p>
        </w:tc>
        <w:tc>
          <w:tcPr>
            <w:tcW w:w="531" w:type="dxa"/>
            <w:tcBorders/>
            <w:shd w:fill="CCEEFF" w:val="clear"/>
            <w:vAlign w:val="center"/>
          </w:tcPr>
          <w:p>
            <w:pPr>
              <w:pStyle w:val="TableContents"/>
              <w:spacing w:before="0" w:after="283"/>
              <w:rPr/>
            </w:pPr>
            <w:r>
              <w:rPr/>
            </w:r>
          </w:p>
        </w:tc>
      </w:tr>
      <w:tr>
        <w:trPr/>
        <w:tc>
          <w:tcPr>
            <w:tcW w:w="9674" w:type="dxa"/>
            <w:gridSpan w:val="2"/>
            <w:tcBorders/>
            <w:shd w:fill="auto" w:val="clear"/>
            <w:vAlign w:val="center"/>
          </w:tcPr>
          <w:p>
            <w:pPr>
              <w:pStyle w:val="TableContents"/>
              <w:spacing w:before="0" w:after="0"/>
              <w:jc w:val="center"/>
              <w:rPr/>
            </w:pPr>
            <w:hyperlink w:anchor="PART3">
              <w:r>
                <w:rPr>
                  <w:rStyle w:val="InternetLink"/>
                  <w:b/>
                </w:rPr>
                <w:t>PART III</w:t>
              </w:r>
            </w:hyperlink>
          </w:p>
        </w:tc>
        <w:tc>
          <w:tcPr>
            <w:tcW w:w="531" w:type="dxa"/>
            <w:tcBorders/>
            <w:shd w:fill="auto" w:val="clear"/>
            <w:vAlign w:val="center"/>
          </w:tcPr>
          <w:p>
            <w:pPr>
              <w:pStyle w:val="TableContents"/>
              <w:spacing w:before="0" w:after="283"/>
              <w:jc w:val="center"/>
              <w:rPr/>
            </w:pPr>
            <w:r>
              <w:rPr/>
              <w:t>57</w:t>
            </w:r>
          </w:p>
        </w:tc>
      </w:tr>
      <w:tr>
        <w:trPr/>
        <w:tc>
          <w:tcPr>
            <w:tcW w:w="9674" w:type="dxa"/>
            <w:gridSpan w:val="2"/>
            <w:tcBorders/>
            <w:shd w:fill="CCEEFF" w:val="clear"/>
            <w:vAlign w:val="center"/>
          </w:tcPr>
          <w:p>
            <w:pPr>
              <w:pStyle w:val="TableContents"/>
              <w:spacing w:before="0" w:after="283"/>
              <w:rPr/>
            </w:pPr>
            <w:r>
              <w:rPr/>
            </w:r>
          </w:p>
        </w:tc>
        <w:tc>
          <w:tcPr>
            <w:tcW w:w="531" w:type="dxa"/>
            <w:tcBorders/>
            <w:shd w:fill="CCEEFF" w:val="clear"/>
            <w:vAlign w:val="center"/>
          </w:tcPr>
          <w:p>
            <w:pPr>
              <w:pStyle w:val="TableContents"/>
              <w:spacing w:before="0" w:after="283"/>
              <w:rPr/>
            </w:pPr>
            <w:r>
              <w:rPr/>
            </w:r>
          </w:p>
        </w:tc>
      </w:tr>
      <w:tr>
        <w:trPr/>
        <w:tc>
          <w:tcPr>
            <w:tcW w:w="796" w:type="dxa"/>
            <w:tcBorders/>
            <w:shd w:fill="auto" w:val="clear"/>
            <w:vAlign w:val="center"/>
          </w:tcPr>
          <w:p>
            <w:pPr>
              <w:pStyle w:val="TableContents"/>
              <w:spacing w:before="0" w:after="0"/>
              <w:jc w:val="both"/>
              <w:rPr/>
            </w:pPr>
            <w:r>
              <w:rPr/>
              <w:t>Item 10.</w:t>
            </w:r>
          </w:p>
        </w:tc>
        <w:tc>
          <w:tcPr>
            <w:tcW w:w="8878" w:type="dxa"/>
            <w:tcBorders/>
            <w:shd w:fill="auto" w:val="clear"/>
            <w:vAlign w:val="center"/>
          </w:tcPr>
          <w:p>
            <w:pPr>
              <w:pStyle w:val="TableContents"/>
              <w:spacing w:before="0" w:after="0"/>
              <w:jc w:val="both"/>
              <w:rPr/>
            </w:pPr>
            <w:hyperlink w:anchor="DIRECTORSEXECUTIVEOFFICER">
              <w:r>
                <w:rPr>
                  <w:rStyle w:val="InternetLink"/>
                </w:rPr>
                <w:t>Directors, Executive Officers and Corporate Governance</w:t>
              </w:r>
            </w:hyperlink>
          </w:p>
        </w:tc>
        <w:tc>
          <w:tcPr>
            <w:tcW w:w="531" w:type="dxa"/>
            <w:tcBorders/>
            <w:shd w:fill="auto" w:val="clear"/>
            <w:vAlign w:val="center"/>
          </w:tcPr>
          <w:p>
            <w:pPr>
              <w:pStyle w:val="TableContents"/>
              <w:spacing w:before="0" w:after="283"/>
              <w:jc w:val="center"/>
              <w:rPr/>
            </w:pPr>
            <w:r>
              <w:rPr/>
              <w:t>57</w:t>
            </w:r>
          </w:p>
        </w:tc>
      </w:tr>
      <w:tr>
        <w:trPr/>
        <w:tc>
          <w:tcPr>
            <w:tcW w:w="796" w:type="dxa"/>
            <w:tcBorders/>
            <w:shd w:fill="CCEEFF" w:val="clear"/>
            <w:vAlign w:val="center"/>
          </w:tcPr>
          <w:p>
            <w:pPr>
              <w:pStyle w:val="TableContents"/>
              <w:spacing w:before="0" w:after="0"/>
              <w:jc w:val="both"/>
              <w:rPr/>
            </w:pPr>
            <w:r>
              <w:rPr/>
              <w:t>Item 11.</w:t>
            </w:r>
          </w:p>
        </w:tc>
        <w:tc>
          <w:tcPr>
            <w:tcW w:w="8878" w:type="dxa"/>
            <w:tcBorders/>
            <w:shd w:fill="CCEEFF" w:val="clear"/>
            <w:vAlign w:val="center"/>
          </w:tcPr>
          <w:p>
            <w:pPr>
              <w:pStyle w:val="TableContents"/>
              <w:spacing w:before="0" w:after="0"/>
              <w:jc w:val="both"/>
              <w:rPr/>
            </w:pPr>
            <w:hyperlink w:anchor="EXECUTIVECOMPENSATION">
              <w:r>
                <w:rPr>
                  <w:rStyle w:val="InternetLink"/>
                </w:rPr>
                <w:t>Executive Compensation</w:t>
              </w:r>
            </w:hyperlink>
          </w:p>
        </w:tc>
        <w:tc>
          <w:tcPr>
            <w:tcW w:w="531" w:type="dxa"/>
            <w:tcBorders/>
            <w:shd w:fill="CCEEFF" w:val="clear"/>
            <w:vAlign w:val="center"/>
          </w:tcPr>
          <w:p>
            <w:pPr>
              <w:pStyle w:val="TableContents"/>
              <w:spacing w:before="0" w:after="283"/>
              <w:jc w:val="center"/>
              <w:rPr/>
            </w:pPr>
            <w:r>
              <w:rPr/>
              <w:t>57</w:t>
            </w:r>
          </w:p>
        </w:tc>
      </w:tr>
      <w:tr>
        <w:trPr/>
        <w:tc>
          <w:tcPr>
            <w:tcW w:w="796" w:type="dxa"/>
            <w:tcBorders/>
            <w:shd w:fill="auto" w:val="clear"/>
            <w:vAlign w:val="center"/>
          </w:tcPr>
          <w:p>
            <w:pPr>
              <w:pStyle w:val="TableContents"/>
              <w:spacing w:before="0" w:after="0"/>
              <w:jc w:val="both"/>
              <w:rPr/>
            </w:pPr>
            <w:r>
              <w:rPr/>
              <w:t>Item 12.</w:t>
            </w:r>
          </w:p>
        </w:tc>
        <w:tc>
          <w:tcPr>
            <w:tcW w:w="8878" w:type="dxa"/>
            <w:tcBorders/>
            <w:shd w:fill="auto" w:val="clear"/>
            <w:vAlign w:val="center"/>
          </w:tcPr>
          <w:p>
            <w:pPr>
              <w:pStyle w:val="TableContents"/>
              <w:spacing w:before="0" w:after="0"/>
              <w:jc w:val="both"/>
              <w:rPr/>
            </w:pPr>
            <w:hyperlink w:anchor="SECURITYOWNERSHIPOFCERTAI">
              <w:r>
                <w:rPr>
                  <w:rStyle w:val="InternetLink"/>
                </w:rPr>
                <w:t>Security Ownership of Certain Beneficial Owners and Management and Related Stockholder Matters</w:t>
              </w:r>
            </w:hyperlink>
          </w:p>
        </w:tc>
        <w:tc>
          <w:tcPr>
            <w:tcW w:w="531" w:type="dxa"/>
            <w:tcBorders/>
            <w:shd w:fill="auto" w:val="clear"/>
            <w:vAlign w:val="center"/>
          </w:tcPr>
          <w:p>
            <w:pPr>
              <w:pStyle w:val="TableContents"/>
              <w:spacing w:before="0" w:after="283"/>
              <w:jc w:val="center"/>
              <w:rPr/>
            </w:pPr>
            <w:r>
              <w:rPr/>
              <w:t>57</w:t>
            </w:r>
          </w:p>
        </w:tc>
      </w:tr>
      <w:tr>
        <w:trPr/>
        <w:tc>
          <w:tcPr>
            <w:tcW w:w="796" w:type="dxa"/>
            <w:tcBorders/>
            <w:shd w:fill="CCEEFF" w:val="clear"/>
            <w:vAlign w:val="center"/>
          </w:tcPr>
          <w:p>
            <w:pPr>
              <w:pStyle w:val="TableContents"/>
              <w:spacing w:before="0" w:after="0"/>
              <w:jc w:val="both"/>
              <w:rPr/>
            </w:pPr>
            <w:r>
              <w:rPr/>
              <w:t>Item 13.</w:t>
            </w:r>
          </w:p>
        </w:tc>
        <w:tc>
          <w:tcPr>
            <w:tcW w:w="8878" w:type="dxa"/>
            <w:tcBorders/>
            <w:shd w:fill="CCEEFF" w:val="clear"/>
            <w:vAlign w:val="center"/>
          </w:tcPr>
          <w:p>
            <w:pPr>
              <w:pStyle w:val="TableContents"/>
              <w:spacing w:before="0" w:after="0"/>
              <w:jc w:val="both"/>
              <w:rPr/>
            </w:pPr>
            <w:hyperlink w:anchor="CERTAINRELATIONSHIPSANDRE">
              <w:r>
                <w:rPr>
                  <w:rStyle w:val="InternetLink"/>
                </w:rPr>
                <w:t>Certain Relationships and Related Transactions, and Director Independence</w:t>
              </w:r>
            </w:hyperlink>
          </w:p>
        </w:tc>
        <w:tc>
          <w:tcPr>
            <w:tcW w:w="531" w:type="dxa"/>
            <w:tcBorders/>
            <w:shd w:fill="CCEEFF" w:val="clear"/>
            <w:vAlign w:val="center"/>
          </w:tcPr>
          <w:p>
            <w:pPr>
              <w:pStyle w:val="TableContents"/>
              <w:spacing w:before="0" w:after="283"/>
              <w:jc w:val="center"/>
              <w:rPr/>
            </w:pPr>
            <w:r>
              <w:rPr/>
              <w:t>57</w:t>
            </w:r>
          </w:p>
        </w:tc>
      </w:tr>
      <w:tr>
        <w:trPr/>
        <w:tc>
          <w:tcPr>
            <w:tcW w:w="796" w:type="dxa"/>
            <w:tcBorders/>
            <w:shd w:fill="auto" w:val="clear"/>
            <w:vAlign w:val="center"/>
          </w:tcPr>
          <w:p>
            <w:pPr>
              <w:pStyle w:val="TableContents"/>
              <w:spacing w:before="0" w:after="0"/>
              <w:jc w:val="both"/>
              <w:rPr/>
            </w:pPr>
            <w:r>
              <w:rPr/>
              <w:t>Item 14.</w:t>
            </w:r>
          </w:p>
        </w:tc>
        <w:tc>
          <w:tcPr>
            <w:tcW w:w="8878" w:type="dxa"/>
            <w:tcBorders/>
            <w:shd w:fill="auto" w:val="clear"/>
            <w:vAlign w:val="center"/>
          </w:tcPr>
          <w:p>
            <w:pPr>
              <w:pStyle w:val="TableContents"/>
              <w:spacing w:before="0" w:after="0"/>
              <w:jc w:val="both"/>
              <w:rPr/>
            </w:pPr>
            <w:hyperlink w:anchor="PRINCIPALACCOUNTINGFEESAN">
              <w:r>
                <w:rPr>
                  <w:rStyle w:val="InternetLink"/>
                </w:rPr>
                <w:t>Principal Accounting Fees and Services</w:t>
              </w:r>
            </w:hyperlink>
          </w:p>
        </w:tc>
        <w:tc>
          <w:tcPr>
            <w:tcW w:w="531" w:type="dxa"/>
            <w:tcBorders/>
            <w:shd w:fill="auto" w:val="clear"/>
            <w:vAlign w:val="center"/>
          </w:tcPr>
          <w:p>
            <w:pPr>
              <w:pStyle w:val="TableContents"/>
              <w:spacing w:before="0" w:after="283"/>
              <w:jc w:val="center"/>
              <w:rPr/>
            </w:pPr>
            <w:r>
              <w:rPr/>
              <w:t>57</w:t>
            </w:r>
          </w:p>
        </w:tc>
      </w:tr>
      <w:tr>
        <w:trPr/>
        <w:tc>
          <w:tcPr>
            <w:tcW w:w="9674" w:type="dxa"/>
            <w:gridSpan w:val="2"/>
            <w:tcBorders/>
            <w:shd w:fill="CCEEFF" w:val="clear"/>
            <w:vAlign w:val="center"/>
          </w:tcPr>
          <w:p>
            <w:pPr>
              <w:pStyle w:val="TableContents"/>
              <w:spacing w:before="0" w:after="283"/>
              <w:rPr/>
            </w:pPr>
            <w:r>
              <w:rPr/>
            </w:r>
          </w:p>
        </w:tc>
        <w:tc>
          <w:tcPr>
            <w:tcW w:w="531" w:type="dxa"/>
            <w:tcBorders/>
            <w:shd w:fill="CCEEFF" w:val="clear"/>
            <w:vAlign w:val="center"/>
          </w:tcPr>
          <w:p>
            <w:pPr>
              <w:pStyle w:val="TableContents"/>
              <w:spacing w:before="0" w:after="283"/>
              <w:rPr/>
            </w:pPr>
            <w:r>
              <w:rPr/>
              <w:t> </w:t>
            </w:r>
          </w:p>
        </w:tc>
      </w:tr>
      <w:tr>
        <w:trPr/>
        <w:tc>
          <w:tcPr>
            <w:tcW w:w="9674" w:type="dxa"/>
            <w:gridSpan w:val="2"/>
            <w:tcBorders/>
            <w:shd w:fill="auto" w:val="clear"/>
            <w:vAlign w:val="center"/>
          </w:tcPr>
          <w:p>
            <w:pPr>
              <w:pStyle w:val="TableContents"/>
              <w:spacing w:before="0" w:after="0"/>
              <w:jc w:val="center"/>
              <w:rPr/>
            </w:pPr>
            <w:hyperlink w:anchor="PART4">
              <w:r>
                <w:rPr>
                  <w:rStyle w:val="InternetLink"/>
                  <w:b/>
                </w:rPr>
                <w:t>PART IV</w:t>
              </w:r>
            </w:hyperlink>
          </w:p>
        </w:tc>
        <w:tc>
          <w:tcPr>
            <w:tcW w:w="531" w:type="dxa"/>
            <w:tcBorders/>
            <w:shd w:fill="auto" w:val="clear"/>
            <w:vAlign w:val="center"/>
          </w:tcPr>
          <w:p>
            <w:pPr>
              <w:pStyle w:val="TableContents"/>
              <w:spacing w:before="0" w:after="283"/>
              <w:jc w:val="center"/>
              <w:rPr/>
            </w:pPr>
            <w:r>
              <w:rPr/>
              <w:t>58</w:t>
            </w:r>
          </w:p>
        </w:tc>
      </w:tr>
      <w:tr>
        <w:trPr/>
        <w:tc>
          <w:tcPr>
            <w:tcW w:w="9674" w:type="dxa"/>
            <w:gridSpan w:val="2"/>
            <w:tcBorders/>
            <w:shd w:fill="CCEEFF" w:val="clear"/>
            <w:vAlign w:val="center"/>
          </w:tcPr>
          <w:p>
            <w:pPr>
              <w:pStyle w:val="TableContents"/>
              <w:spacing w:before="0" w:after="283"/>
              <w:rPr/>
            </w:pPr>
            <w:r>
              <w:rPr/>
            </w:r>
          </w:p>
        </w:tc>
        <w:tc>
          <w:tcPr>
            <w:tcW w:w="531" w:type="dxa"/>
            <w:tcBorders/>
            <w:shd w:fill="CCEEFF" w:val="clear"/>
            <w:vAlign w:val="center"/>
          </w:tcPr>
          <w:p>
            <w:pPr>
              <w:pStyle w:val="TableContents"/>
              <w:spacing w:before="0" w:after="283"/>
              <w:rPr/>
            </w:pPr>
            <w:r>
              <w:rPr/>
            </w:r>
          </w:p>
        </w:tc>
      </w:tr>
      <w:tr>
        <w:trPr/>
        <w:tc>
          <w:tcPr>
            <w:tcW w:w="796" w:type="dxa"/>
            <w:tcBorders/>
            <w:shd w:fill="auto" w:val="clear"/>
            <w:vAlign w:val="center"/>
          </w:tcPr>
          <w:p>
            <w:pPr>
              <w:pStyle w:val="TableContents"/>
              <w:spacing w:before="0" w:after="0"/>
              <w:jc w:val="both"/>
              <w:rPr/>
            </w:pPr>
            <w:r>
              <w:rPr/>
              <w:t>Item 15.</w:t>
            </w:r>
          </w:p>
        </w:tc>
        <w:tc>
          <w:tcPr>
            <w:tcW w:w="8878" w:type="dxa"/>
            <w:tcBorders/>
            <w:shd w:fill="auto" w:val="clear"/>
            <w:vAlign w:val="center"/>
          </w:tcPr>
          <w:p>
            <w:pPr>
              <w:pStyle w:val="TableContents"/>
              <w:spacing w:before="0" w:after="0"/>
              <w:jc w:val="both"/>
              <w:rPr/>
            </w:pPr>
            <w:hyperlink w:anchor="EXHIBITSANDFINANCIALSTATE">
              <w:r>
                <w:rPr>
                  <w:rStyle w:val="InternetLink"/>
                </w:rPr>
                <w:t>Exhibits and Financial Statement Schedules</w:t>
              </w:r>
            </w:hyperlink>
          </w:p>
        </w:tc>
        <w:tc>
          <w:tcPr>
            <w:tcW w:w="531" w:type="dxa"/>
            <w:tcBorders/>
            <w:shd w:fill="auto" w:val="clear"/>
            <w:vAlign w:val="center"/>
          </w:tcPr>
          <w:p>
            <w:pPr>
              <w:pStyle w:val="TableContents"/>
              <w:spacing w:before="0" w:after="0"/>
              <w:jc w:val="center"/>
              <w:rPr/>
            </w:pPr>
            <w:r>
              <w:rPr/>
              <w:t>58</w:t>
            </w:r>
          </w:p>
        </w:tc>
      </w:tr>
      <w:tr>
        <w:trPr/>
        <w:tc>
          <w:tcPr>
            <w:tcW w:w="796" w:type="dxa"/>
            <w:tcBorders/>
            <w:shd w:fill="CCEEFF" w:val="clear"/>
            <w:vAlign w:val="center"/>
          </w:tcPr>
          <w:p>
            <w:pPr>
              <w:pStyle w:val="TableContents"/>
              <w:spacing w:before="0" w:after="0"/>
              <w:jc w:val="both"/>
              <w:rPr/>
            </w:pPr>
            <w:r>
              <w:rPr/>
              <w:t>Item 16.</w:t>
            </w:r>
          </w:p>
        </w:tc>
        <w:tc>
          <w:tcPr>
            <w:tcW w:w="8878" w:type="dxa"/>
            <w:tcBorders/>
            <w:shd w:fill="CCEEFF" w:val="clear"/>
            <w:vAlign w:val="center"/>
          </w:tcPr>
          <w:p>
            <w:pPr>
              <w:pStyle w:val="TableContents"/>
              <w:spacing w:before="0" w:after="0"/>
              <w:jc w:val="both"/>
              <w:rPr/>
            </w:pPr>
            <w:hyperlink w:anchor="FORM10-KSUMMARY">
              <w:r>
                <w:rPr>
                  <w:rStyle w:val="InternetLink"/>
                </w:rPr>
                <w:t>Form 10-K Summary</w:t>
              </w:r>
            </w:hyperlink>
          </w:p>
        </w:tc>
        <w:tc>
          <w:tcPr>
            <w:tcW w:w="531" w:type="dxa"/>
            <w:tcBorders/>
            <w:shd w:fill="CCEEFF" w:val="clear"/>
            <w:vAlign w:val="center"/>
          </w:tcPr>
          <w:p>
            <w:pPr>
              <w:pStyle w:val="TableContents"/>
              <w:spacing w:before="0" w:after="283"/>
              <w:jc w:val="center"/>
              <w:rPr/>
            </w:pPr>
            <w:r>
              <w:rPr/>
              <w:t>59</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spacing w:before="0" w:after="0"/>
        <w:jc w:val="both"/>
        <w:rPr/>
      </w:pPr>
      <w:r>
        <w:rPr/>
      </w:r>
    </w:p>
    <w:p>
      <w:pPr>
        <w:pStyle w:val="TextBody"/>
        <w:spacing w:before="0" w:after="0"/>
        <w:ind w:left="0" w:right="0" w:firstLine="360"/>
        <w:jc w:val="left"/>
        <w:rPr>
          <w:rFonts w:ascii="Times New Roman" w:hAnsi="Times New Roman"/>
          <w:color w:val="000000"/>
          <w:sz w:val="20"/>
        </w:rPr>
      </w:pPr>
      <w:r>
        <w:rPr>
          <w:rFonts w:ascii="Times New Roman" w:hAnsi="Times New Roman"/>
          <w:color w:val="000000"/>
          <w:sz w:val="20"/>
        </w:rPr>
        <w:t>This Report, including the sections entitled “Risk Factors”, “Management’s Discussion and Analysis of Financial Condition and Results of Operations” and “Business”,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pStyle w:val="TextBody"/>
        <w:spacing w:before="0" w:after="0"/>
        <w:jc w:val="left"/>
        <w:rPr/>
      </w:pPr>
      <w:r>
        <w:rPr/>
      </w:r>
    </w:p>
    <w:p>
      <w:pPr>
        <w:pStyle w:val="TextBody"/>
        <w:spacing w:before="0" w:after="0"/>
        <w:ind w:left="0" w:right="0" w:firstLine="360"/>
        <w:jc w:val="left"/>
        <w:rPr>
          <w:rFonts w:ascii="Times New Roman" w:hAnsi="Times New Roman"/>
          <w:color w:val="000000"/>
          <w:sz w:val="20"/>
        </w:rPr>
      </w:pPr>
      <w:r>
        <w:rPr>
          <w:rFonts w:ascii="Times New Roman" w:hAnsi="Times New Roman"/>
          <w:color w:val="000000"/>
          <w:sz w:val="20"/>
        </w:rPr>
        <w:t>Forward-looking statements include, but are not limited to, statements about:</w:t>
      </w:r>
    </w:p>
    <w:p>
      <w:pPr>
        <w:pStyle w:val="TextBody"/>
        <w:spacing w:before="0" w:after="0"/>
        <w:jc w:val="left"/>
        <w:rPr/>
      </w:pPr>
      <w:r>
        <w:rPr/>
      </w:r>
    </w:p>
    <w:tbl>
      <w:tblPr>
        <w:tblW w:w="8875" w:type="dxa"/>
        <w:jc w:val="left"/>
        <w:tblInd w:w="0" w:type="dxa"/>
        <w:tblCellMar>
          <w:top w:w="0" w:type="dxa"/>
          <w:left w:w="0" w:type="dxa"/>
          <w:bottom w:w="0" w:type="dxa"/>
          <w:right w:w="0" w:type="dxa"/>
        </w:tblCellMar>
      </w:tblPr>
      <w:tblGrid>
        <w:gridCol w:w="75"/>
        <w:gridCol w:w="170"/>
        <w:gridCol w:w="86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jc w:val="left"/>
              <w:rPr/>
            </w:pPr>
            <w:r>
              <w:rPr/>
              <w:t>●</w:t>
            </w:r>
          </w:p>
        </w:tc>
        <w:tc>
          <w:tcPr>
            <w:tcW w:w="8630" w:type="dxa"/>
            <w:tcBorders/>
            <w:shd w:fill="auto" w:val="clear"/>
            <w:vAlign w:val="center"/>
          </w:tcPr>
          <w:p>
            <w:pPr>
              <w:pStyle w:val="TableContents"/>
              <w:spacing w:before="0" w:after="0"/>
              <w:jc w:val="left"/>
              <w:rPr/>
            </w:pPr>
            <w:r>
              <w:rPr/>
              <w:t>forecasts of future business performance, consumer trends and macro-economic conditions;</w:t>
            </w:r>
          </w:p>
        </w:tc>
      </w:tr>
    </w:tbl>
    <w:p>
      <w:pPr>
        <w:pStyle w:val="TextBody"/>
        <w:spacing w:before="0" w:after="0"/>
        <w:rPr/>
      </w:pPr>
      <w:r>
        <w:rPr/>
      </w:r>
    </w:p>
    <w:tbl>
      <w:tblPr>
        <w:tblW w:w="9085" w:type="dxa"/>
        <w:jc w:val="left"/>
        <w:tblInd w:w="0" w:type="dxa"/>
        <w:tblCellMar>
          <w:top w:w="0" w:type="dxa"/>
          <w:left w:w="0" w:type="dxa"/>
          <w:bottom w:w="0" w:type="dxa"/>
          <w:right w:w="0" w:type="dxa"/>
        </w:tblCellMar>
      </w:tblPr>
      <w:tblGrid>
        <w:gridCol w:w="75"/>
        <w:gridCol w:w="890"/>
        <w:gridCol w:w="812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8120" w:type="dxa"/>
            <w:tcBorders/>
            <w:shd w:fill="auto" w:val="clear"/>
            <w:vAlign w:val="center"/>
          </w:tcPr>
          <w:p>
            <w:pPr>
              <w:pStyle w:val="TableContents"/>
              <w:spacing w:before="0" w:after="0"/>
              <w:jc w:val="left"/>
              <w:rPr/>
            </w:pPr>
            <w:r>
              <w:rPr/>
              <w:t>descriptions of market, competitive conditions, and competitive product introductions;</w:t>
            </w:r>
          </w:p>
        </w:tc>
      </w:tr>
    </w:tbl>
    <w:p>
      <w:pPr>
        <w:pStyle w:val="TextBody"/>
        <w:spacing w:before="0" w:after="0"/>
        <w:rPr/>
      </w:pPr>
      <w:r>
        <w:rPr/>
      </w:r>
    </w:p>
    <w:tbl>
      <w:tblPr>
        <w:tblW w:w="9745" w:type="dxa"/>
        <w:jc w:val="left"/>
        <w:tblInd w:w="0" w:type="dxa"/>
        <w:tblCellMar>
          <w:top w:w="0" w:type="dxa"/>
          <w:left w:w="0" w:type="dxa"/>
          <w:bottom w:w="0" w:type="dxa"/>
          <w:right w:w="0" w:type="dxa"/>
        </w:tblCellMar>
      </w:tblPr>
      <w:tblGrid>
        <w:gridCol w:w="75"/>
        <w:gridCol w:w="890"/>
        <w:gridCol w:w="878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8780" w:type="dxa"/>
            <w:tcBorders/>
            <w:shd w:fill="auto" w:val="clear"/>
            <w:vAlign w:val="center"/>
          </w:tcPr>
          <w:p>
            <w:pPr>
              <w:pStyle w:val="TableContents"/>
              <w:spacing w:before="0" w:after="0"/>
              <w:jc w:val="left"/>
              <w:rPr/>
            </w:pPr>
            <w:r>
              <w:rPr/>
              <w:t>descriptions of plans or objectives of management for future operations, products or services;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
        <w:gridCol w:w="890"/>
        <w:gridCol w:w="924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9240" w:type="dxa"/>
            <w:tcBorders/>
            <w:shd w:fill="auto" w:val="clear"/>
            <w:vAlign w:val="center"/>
          </w:tcPr>
          <w:p>
            <w:pPr>
              <w:pStyle w:val="TableContents"/>
              <w:spacing w:before="0" w:after="0"/>
              <w:jc w:val="left"/>
              <w:rPr/>
            </w:pPr>
            <w:r>
              <w:rPr/>
              <w:t>actions by the FDA or other regulatory agencies with respect to our products or product candidates;</w:t>
            </w:r>
          </w:p>
        </w:tc>
      </w:tr>
    </w:tbl>
    <w:p>
      <w:pPr>
        <w:pStyle w:val="TextBody"/>
        <w:spacing w:before="0" w:after="0"/>
        <w:rPr/>
      </w:pPr>
      <w:r>
        <w:rPr/>
      </w:r>
    </w:p>
    <w:tbl>
      <w:tblPr>
        <w:tblW w:w="8050" w:type="dxa"/>
        <w:jc w:val="left"/>
        <w:tblInd w:w="0" w:type="dxa"/>
        <w:tblCellMar>
          <w:top w:w="0" w:type="dxa"/>
          <w:left w:w="0" w:type="dxa"/>
          <w:bottom w:w="0" w:type="dxa"/>
          <w:right w:w="0" w:type="dxa"/>
        </w:tblCellMar>
      </w:tblPr>
      <w:tblGrid>
        <w:gridCol w:w="75"/>
        <w:gridCol w:w="890"/>
        <w:gridCol w:w="7085"/>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7085" w:type="dxa"/>
            <w:tcBorders/>
            <w:shd w:fill="auto" w:val="clear"/>
            <w:vAlign w:val="center"/>
          </w:tcPr>
          <w:p>
            <w:pPr>
              <w:pStyle w:val="TableContents"/>
              <w:spacing w:before="0" w:after="0"/>
              <w:jc w:val="left"/>
              <w:rPr/>
            </w:pPr>
            <w:r>
              <w:rPr/>
              <w:t>changes to third-party reimbursement of laser treatments using our devices;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
        <w:gridCol w:w="890"/>
        <w:gridCol w:w="924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9240" w:type="dxa"/>
            <w:tcBorders/>
            <w:shd w:fill="auto" w:val="clear"/>
            <w:vAlign w:val="center"/>
          </w:tcPr>
          <w:p>
            <w:pPr>
              <w:pStyle w:val="TableContents"/>
              <w:spacing w:before="0" w:after="0"/>
              <w:jc w:val="left"/>
              <w:rPr/>
            </w:pPr>
            <w:r>
              <w:rPr/>
              <w:t>our estimates regarding the sufficiency of our cash resources, expenses, capital requirements and needs for additional financing and our ability to obtain additional financing;</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75"/>
        <w:gridCol w:w="890"/>
        <w:gridCol w:w="924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9240" w:type="dxa"/>
            <w:tcBorders/>
            <w:shd w:fill="auto" w:val="clear"/>
            <w:vAlign w:val="center"/>
          </w:tcPr>
          <w:p>
            <w:pPr>
              <w:pStyle w:val="TableContents"/>
              <w:spacing w:before="0" w:after="0"/>
              <w:jc w:val="left"/>
              <w:rPr/>
            </w:pPr>
            <w:r>
              <w:rPr/>
              <w:t>our ability to protect our intellectual property and operate our business without infringing upon the intellectual property rights of others;</w:t>
            </w:r>
          </w:p>
        </w:tc>
      </w:tr>
    </w:tbl>
    <w:p>
      <w:pPr>
        <w:pStyle w:val="TextBody"/>
        <w:spacing w:before="0" w:after="0"/>
        <w:rPr/>
      </w:pPr>
      <w:r>
        <w:rPr/>
      </w:r>
    </w:p>
    <w:tbl>
      <w:tblPr>
        <w:tblW w:w="7705" w:type="dxa"/>
        <w:jc w:val="left"/>
        <w:tblInd w:w="0" w:type="dxa"/>
        <w:tblCellMar>
          <w:top w:w="0" w:type="dxa"/>
          <w:left w:w="0" w:type="dxa"/>
          <w:bottom w:w="0" w:type="dxa"/>
          <w:right w:w="0" w:type="dxa"/>
        </w:tblCellMar>
      </w:tblPr>
      <w:tblGrid>
        <w:gridCol w:w="75"/>
        <w:gridCol w:w="890"/>
        <w:gridCol w:w="6740"/>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6740" w:type="dxa"/>
            <w:tcBorders/>
            <w:shd w:fill="auto" w:val="clear"/>
            <w:vAlign w:val="center"/>
          </w:tcPr>
          <w:p>
            <w:pPr>
              <w:pStyle w:val="TableContents"/>
              <w:spacing w:before="0" w:after="0"/>
              <w:jc w:val="left"/>
              <w:rPr/>
            </w:pPr>
            <w:r>
              <w:rPr/>
              <w:t>anticipated results of existing or future litigation or government actions;</w:t>
            </w:r>
          </w:p>
        </w:tc>
      </w:tr>
    </w:tbl>
    <w:p>
      <w:pPr>
        <w:pStyle w:val="TextBody"/>
        <w:spacing w:before="0" w:after="0"/>
        <w:rPr/>
      </w:pPr>
      <w:r>
        <w:rPr/>
      </w:r>
    </w:p>
    <w:tbl>
      <w:tblPr>
        <w:tblW w:w="7630" w:type="dxa"/>
        <w:jc w:val="left"/>
        <w:tblInd w:w="0" w:type="dxa"/>
        <w:tblCellMar>
          <w:top w:w="0" w:type="dxa"/>
          <w:left w:w="0" w:type="dxa"/>
          <w:bottom w:w="0" w:type="dxa"/>
          <w:right w:w="0" w:type="dxa"/>
        </w:tblCellMar>
      </w:tblPr>
      <w:tblGrid>
        <w:gridCol w:w="75"/>
        <w:gridCol w:w="890"/>
        <w:gridCol w:w="6665"/>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6665" w:type="dxa"/>
            <w:tcBorders/>
            <w:shd w:fill="auto" w:val="clear"/>
            <w:vAlign w:val="center"/>
          </w:tcPr>
          <w:p>
            <w:pPr>
              <w:pStyle w:val="TableContents"/>
              <w:spacing w:before="0" w:after="0"/>
              <w:jc w:val="left"/>
              <w:rPr/>
            </w:pPr>
            <w:r>
              <w:rPr/>
              <w:t>health emergencies, the spread of infectious disease or pandemics; and</w:t>
            </w:r>
          </w:p>
        </w:tc>
      </w:tr>
    </w:tbl>
    <w:p>
      <w:pPr>
        <w:pStyle w:val="TextBody"/>
        <w:spacing w:before="0" w:after="0"/>
        <w:rPr/>
      </w:pPr>
      <w:r>
        <w:rPr/>
      </w:r>
    </w:p>
    <w:tbl>
      <w:tblPr>
        <w:tblW w:w="8110" w:type="dxa"/>
        <w:jc w:val="left"/>
        <w:tblInd w:w="0" w:type="dxa"/>
        <w:tblCellMar>
          <w:top w:w="0" w:type="dxa"/>
          <w:left w:w="0" w:type="dxa"/>
          <w:bottom w:w="0" w:type="dxa"/>
          <w:right w:w="0" w:type="dxa"/>
        </w:tblCellMar>
      </w:tblPr>
      <w:tblGrid>
        <w:gridCol w:w="75"/>
        <w:gridCol w:w="890"/>
        <w:gridCol w:w="7145"/>
      </w:tblGrid>
      <w:tr>
        <w:trPr/>
        <w:tc>
          <w:tcPr>
            <w:tcW w:w="75"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0"/>
              <w:ind w:left="0" w:right="0" w:firstLine="720"/>
              <w:jc w:val="left"/>
              <w:rPr/>
            </w:pPr>
            <w:r>
              <w:rPr/>
              <w:t>●</w:t>
            </w:r>
          </w:p>
        </w:tc>
        <w:tc>
          <w:tcPr>
            <w:tcW w:w="7145" w:type="dxa"/>
            <w:tcBorders/>
            <w:shd w:fill="auto" w:val="clear"/>
            <w:vAlign w:val="center"/>
          </w:tcPr>
          <w:p>
            <w:pPr>
              <w:pStyle w:val="TableContents"/>
              <w:spacing w:before="0" w:after="0"/>
              <w:jc w:val="left"/>
              <w:rPr/>
            </w:pPr>
            <w:r>
              <w:rPr/>
              <w:t>descriptions or assumptions underlying or related to any of the above items.</w:t>
            </w:r>
          </w:p>
        </w:tc>
      </w:tr>
    </w:tbl>
    <w:p>
      <w:pPr>
        <w:pStyle w:val="TextBody"/>
        <w:spacing w:before="0" w:after="0"/>
        <w:jc w:val="left"/>
        <w:rPr/>
      </w:pPr>
      <w:r>
        <w:rPr/>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In light of these assumptions, risks and uncertainties, the results and events discussed in the forward-looking statements contained in this Report might not occur. Investors are cautioned not to place undue reliance on the forward-looking statements, which speak only as of the date of this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pStyle w:val="TextBody"/>
        <w:spacing w:before="0" w:after="0"/>
        <w:jc w:val="left"/>
        <w:rPr>
          <w:color w:val="000000"/>
        </w:rPr>
      </w:pPr>
      <w:r>
        <w:rPr>
          <w:color w:val="000000"/>
        </w:rPr>
        <w:t> </w:t>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You should read this Annual Report and the documents that we reference in this Annual Report as exhibits with the understanding that our actual future results, performance, and events and circumstances may be materially different from what we expect.</w:t>
      </w:r>
    </w:p>
    <w:p>
      <w:pPr>
        <w:pStyle w:val="TextBody"/>
        <w:spacing w:before="0" w:after="0"/>
        <w:jc w:val="left"/>
        <w:rPr/>
      </w:pPr>
      <w:r>
        <w:rPr/>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bookmarkStart w:id="1" w:name="PART1"/>
      <w:bookmarkEnd w:id="1"/>
      <w:r>
        <w:rPr>
          <w:rFonts w:ascii="Times New Roman" w:hAnsi="Times New Roman"/>
          <w:b/>
          <w:color w:val="000000"/>
          <w:sz w:val="20"/>
        </w:rPr>
        <w:t>PART I</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 xml:space="preserve">ITEM 1. </w:t>
      </w:r>
      <w:bookmarkStart w:id="2" w:name="BUSINESS"/>
      <w:bookmarkEnd w:id="2"/>
      <w:r>
        <w:rPr>
          <w:rFonts w:ascii="Times New Roman" w:hAnsi="Times New Roman"/>
          <w:b/>
          <w:color w:val="000000"/>
          <w:sz w:val="20"/>
        </w:rPr>
        <w:t>BUSINESS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Our Company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a medical technology company in dermatology dedicated to developing, commercializing and marketing innovative products for the treatment of dermatologic conditions.  Our products include the XTRAC® and now Pharos® excimer lasers and VTRAC® lamp systems utilized in the treatment of psoriasis, vitiligo and various other skin conditions.  Our products also include the TheraClear® Acne Therapy System utilized in the treatment of mild to moderate inflammatory, comedonal and pustular acne.</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Corporate Overview</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were incorporated in the State of New York in 1989 under the name Electro-Optical Sciences, Inc. and subsequently reincorporated under the laws of the State of Delaware in 1997. In April 2010, we changed our name to MELA Sciences, Inc. On January 5, 2016, we changed our name to STRATA Skin Sciences, Inc. 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We have discontinued the MelaFind business.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August 2021 and January 2022, we acquired the Pharos U.S. dermatology business and the TheraClear acne treatment business, respectively.</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Impact of COVID-19 Pandemic</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late 2019, there was an outbreak of a new strain of coronavirus (“COVID-19”) which became a global pandemic. While many of COVID-19’s initial disruptions and damage to the global economy have been mitigated, the COVID-19 pandemic has continued to negatively impact the economy,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offices have reopened, some physician practices closed and never reopened, and the impact of the ongoing COVID-19 pandemic and its variants on our operational and financial performance, including our ability to execute our business strategies and initiatives in the expected time frames, will depend on future developments, including, but not limited to, the ongoing mutations and spread of the COVID-19 virus, impact on business operations, supply chains, and transport, and governmental and societal responses thereto, all of which are uncertain and cannot be predicted.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ongoing COVID-19 pandemic has had a negative impact on our results of operations and financial performance through fiscal 2022, and we expect it will continue to have a negative impact on revenues, earnings and cash flows until such time as our customers adjust to the pandemic’s ramifications. Some physician offices continue to experience staffing issues, and we believe these shortages of trained personnel have negatively impacted our business. Accordingly, current results and financial conditions discussed herein may not be indicative of future operating results and trends.</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Russia-Ukraine War</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Prior to the outbreak of the Russia-Ukraine War, Ukraine was the largest exporter of noble gases including neon, krypton, and xenon. Historically, Ukraine has been the source of a significant amount of gas supplied to the Company by our contract suppliers. Neon gas is essential to the proper functioning of our lasers. Our supporters have been resourceful in continuing to supply gases to us but cannot assure us that the supply will not remain uninterrupted. The reduced supply and war have raised the price of gas significantly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disruptions caused by this war.</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XTRAC and Pharos Systems and VTRAC Systems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XTRAC and Pharos excimer laser technology emits highly concentrated UV light targeted primarily towards autoimmune dermatological skin disorders such as psoriasis, vitiligo, atopic dermatitis, and eczema, among others.  The XTRAC system received U.S. Food and Drug Administration (“FDA”) clearance in 2000 and the Pharos in 2004, and excimer laser has since become a widely recognized treatment for psoriasis, vitiligo and other skin diseases.  Psoriasis and vitiligo alone affect up to 13 million people in the U.S. and 195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Present in natural sunlight, ultraviolet B (“UVB”) is an accepted psoriasis treatment that penetrates the skin to slow the growth of damaged skin cells thereby placing the disease into remission for a period of time.  Studies have shown that the remission time can last three to six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pStyle w:val="TextBody"/>
        <w:spacing w:before="0" w:after="0"/>
        <w:jc w:val="left"/>
        <w:rPr/>
      </w:pPr>
      <w:r>
        <w:rPr/>
      </w:r>
    </w:p>
    <w:p>
      <w:pPr>
        <w:pStyle w:val="TextBody"/>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We currently market four XTRAC excimer models.  In October 2018, we announced the launch of XTRAC S3®, which, as compared to previous XTRAC generations, is smaller, faster and has a new user interface.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In February 2022, we announced the commercial launch of our next generation excimer laser system, XTRAC MomentumTM 1.0, which delivers higher power and a faster repetition rate than the current models, along with a new user interface and slim design. We continue to market the XTRAC Velocity, our third-generation laser and the XTRAC Ultra Plus, which is also a highly effective model marketed primarily in certain international markets.  The Momentum, S3, Velocity and the Ultra Plus are capable of treating mild, moderate and severe psoriasis, vitiligo, atopic dermatitis and leukoderma.</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XTRAC excimer laser is marketed in the U.S. mainly under a recurring revenue model in which we place the system in the physician’s office for no upfront charge and generate our revenue on a per-use basis (referred to herein as the dermatology recurring procedures model or segment).  We estimate that there are over 1,000 XTRAC lasers in use in the U.S., of which 909 systems were, as of December 31, 2022, included in our dermatology recurring procedures revenue model.  The Pharos business provides the opportunity for us to convert the customer base to our XTRAC excimer laser system.  The target U.S. audience for XTRAC lasers comprises approximately 3,500 dermatologists who perform disease management.  Until 2019, in markets outside the U.S. the XTRAC laser had been marketed primarily as dermatology procedures equipment sales through distributors in over twenty-five countries.  The VTRAC is marketed exclusively in international markets through the same distributors.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Since 2019, we have been transitioning our international dermatology procedures equipment sales through our master distributor to a direct distribution model for equipment sales and recurring revenue on a country by country basis. In January 2022, our agreement with our master distributor expired. We have signed distributor contracts by year as follows: 2019 – Korea, 2020 – Japan, 2021 – China, Israel, Saudi Arabia, Kuwait, Oman, Qatar, Bahrain, UAE, Jordan, Iraq and 2023 – Mexico.</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Studies have concluded that XTRAC treatment leads to significant improvement in psoriasis plaques and severity scores in as few as six to ten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There are three applicable CPT codes that differ based on the total skin surface area being treated.  Insurance Reimbursement to physicians varies based upon insurance company and location.  The national CPT code reimbursement established by the Center for Medicaid Services (“CMS”), which forms the basis for most insurance companies’ reimbursement levels, ranges for the three codes between $162 per treatment to $240 per treatment.  (See “Third Party Reimbursement” below.)</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i/>
          <w:color w:val="000000"/>
          <w:sz w:val="20"/>
        </w:rPr>
      </w:pPr>
      <w:r>
        <w:rPr>
          <w:rFonts w:ascii="Times New Roman" w:hAnsi="Times New Roman"/>
          <w:b/>
          <w:i/>
          <w:color w:val="000000"/>
          <w:sz w:val="20"/>
        </w:rPr>
        <w:t>Psoriasis, the Disease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World Health Organization describes psoriasis as a chronic, noncommunicable, painful, disfiguring and disabling disease for which there is no cure, and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Psoriasis Treatment Options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are essentially three main types of psoriasis treatments, as listed below:</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Topical therapies: 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Phototherapy: This is the area in which we operate.  Our XTRAC Excimer Systems are FDA-cleared, reimbursed by insurance, and exhibit none of the significant side-effects associated with some alternative therapies.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Systemic medications: There are a number of prescription medications available for psoriasis, which are given either by mouth or as an injection.  The popularity and use of these medications are growing significantly, notwithstanding their cost and their potentially severe side-effects.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Using the XTRAC and Pharos Excimer Lasers to Treat Vitiligo and Other Skin Diseases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w:t>
        <w:noBreakHyphen/>
        <w:t>pigmentation may last for several years.  Historically, vitiligo treatments had been considered cosmetic procedures by insurance companies, and as such were not reimbursed.  However, over the past several years, there has been a significant increase in insurance coverage for these procedures and we estimate that currently approximately 76% of insurers consider XTRAC treatments to be medically necessary for the treatment of vitiligo and therefore provide coverage.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believe that several factors have limited the growth of the use of XTRAC treatments from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color w:val="000000"/>
        </w:rPr>
      </w:pPr>
      <w:r>
        <w:rPr>
          <w:color w:val="000000"/>
        </w:rPr>
        <w:t> </w:t>
      </w:r>
      <w:r>
        <w:rPr>
          <w:rFonts w:ascii="Times New Roman" w:hAnsi="Times New Roman"/>
          <w:b/>
          <w:color w:val="000000"/>
          <w:sz w:val="20"/>
        </w:rPr>
        <w:t>STRATAPEN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January 2017, we entered into an OEM agreement with Esthetic Education, LLC to private label the STRATAPEN device.  STRATAPEN® MicroSystems is a micropigmentation device that provides advanced technology offering exceptional results.  This contract expired in January 2020, but we continue to sell this product on a purchase order basis.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THERACLEAR</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January 2022, we acquired the TheraClear assets from Theravant Corporation. The TheraClear Acne Therapy System delivers a two-part process for treating inflammatory acne, pustular acne and comedonal acne that combines a vacuum and broadband light that has been proven to clear skin rapidly for fast and visible reduction in acne and associated redness. Treatments are very comfortable, take 10 minutes to perform, are highly effective, and can be used on all skin types.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Competition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TheraClear device competes with a range of over the counter treatment methodologies, as well as prescription only medications, and in-office treatment methodologies.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Manufacturing</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believe that our present manufacturing capacity at these facilities is sufficient to meet foreseeable demand for our products.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Research and Development Efforts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research and development team, including engineers, consists of approximately four employees.  We conduct research and development activities at our facility located in Carlsbad, California.  Our research and development efforts are focused on the application of our XTRAC system for the treatment of inflammatory skin disorders.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Intellectual Property</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policy is to protect our intellectual property by obtaining U.S. and foreign patents to protect technology, inventions and improvements important to the development of our business.  As of December 31, 2022, 28 issued U.S. patents are in force, and many of these patents have foreign counterparts issued and pending. The Company maintains 15 patents from Mela Sciences, Inc. related to the MelaFind product.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also rely on trade secrets and technical know-how in the manufacture and marketing of our products.  We require our employees, consultants and contractors to execute confidentiality agreements with respect to our proprietary information.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February 2021, the license for the exclusive rights for patents related to the delivery of treatment to vitiligo with the Icahn School of Medicine at Mount Sinai expired.  We do not believe that this will have a material impact on our business.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pStyle w:val="TextBody"/>
        <w:spacing w:before="0" w:after="0"/>
        <w:jc w:val="left"/>
        <w:rPr/>
      </w:pPr>
      <w:r>
        <w:rPr/>
      </w:r>
    </w:p>
    <w:p>
      <w:pPr>
        <w:pStyle w:val="TextBody"/>
        <w:spacing w:before="0" w:after="0"/>
        <w:ind w:left="180" w:right="981" w:hanging="180"/>
        <w:jc w:val="left"/>
        <w:rPr>
          <w:rFonts w:ascii="Times New Roman" w:hAnsi="Times New Roman"/>
          <w:b/>
          <w:color w:val="000000"/>
          <w:sz w:val="20"/>
        </w:rPr>
      </w:pPr>
      <w:r>
        <w:rPr>
          <w:rFonts w:ascii="Times New Roman" w:hAnsi="Times New Roman"/>
          <w:b/>
          <w:color w:val="000000"/>
          <w:sz w:val="20"/>
        </w:rPr>
        <w:t>Government Regulation</w:t>
      </w:r>
    </w:p>
    <w:p>
      <w:pPr>
        <w:pStyle w:val="TextBody"/>
        <w:spacing w:before="0" w:after="0"/>
        <w:jc w:val="left"/>
        <w:rPr>
          <w:color w:val="000000"/>
        </w:rPr>
      </w:pPr>
      <w:r>
        <w:rPr>
          <w:color w:val="000000"/>
        </w:rPr>
        <w:t> </w:t>
      </w:r>
    </w:p>
    <w:p>
      <w:pPr>
        <w:pStyle w:val="TextBody"/>
        <w:spacing w:before="0" w:after="0"/>
        <w:ind w:left="900" w:right="981" w:hanging="900"/>
        <w:jc w:val="left"/>
        <w:rPr>
          <w:rFonts w:ascii="Times New Roman" w:hAnsi="Times New Roman"/>
          <w:b/>
          <w:i/>
          <w:color w:val="000000"/>
          <w:sz w:val="20"/>
        </w:rPr>
      </w:pPr>
      <w:r>
        <w:rPr>
          <w:rFonts w:ascii="Times New Roman" w:hAnsi="Times New Roman"/>
          <w:b/>
          <w:i/>
          <w:color w:val="000000"/>
          <w:sz w:val="20"/>
        </w:rPr>
        <w:t>Regulations Relating to Products and Manufacturing</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STRATAPEN and TheraClear devices. Product development and approval for medical devices within this regulatory framework takes a number of years and involves the expenditure of substantial resources.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 Both XTRAC and TheraClear are Class II devices.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w:t>
      </w:r>
    </w:p>
    <w:p>
      <w:pPr>
        <w:pStyle w:val="TextBody"/>
        <w:spacing w:before="0" w:after="0"/>
        <w:ind w:left="0" w:right="0" w:firstLine="72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These approvals were originally granted to PhotoMedex, Inc. and acquired by us in the June 2015 acquisition described above. In January 2020, we announced the FDA granted clearance of our XTRAC Momentum Excimer Laser platform.</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TheraClear device has been cleared by the FDA through the 510(k) process.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TheraClear device is being manufactured for us by a third party and we purchase our STRATAPEN devices from third parties, who are subject to the same regulations. We rely on these third parties to ensure compliance with the regulations. Failure to comply with applicable regulatory requirements can result in fines, injunctions, civil penalties, recalls or seizures of products, total or partial suspensions of production, refusals by the U.S. and foreign governments to permit product sales and criminal prosecution. We are, or may become, subject to various other federal, state, local and foreign laws, regulations and policies relating to, among other things, safe working conditions, good laboratory practices and the use and disposal of hazardous or potentially hazardous substances used in connection with research and development.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Fraud and Abuse Laws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Anti-Kickback Laws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Many states have laws that implicate anti-kickback restrictions similar to the Anti-Kickback Statute. Some of these state prohibitions apply, regardless of whether federal health care program business is involved, to arrangements such as for self-pay or private-pay patients. 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Federal Civil False Claims Act and State False Claims Laws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When an entity is determined to have violated the False Claims Act, it may be required to pay up to three times the actual damages sustained by the government, plus civil penalties of $5,500 to $11,000 for each separate false claim. There are many potential bases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HIPAA Fraud and Other Regulations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Effective January 1, 2020, The California Consumer Privacy Act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HIPAA and Other Privacy Regulations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Health Information Technology for Economic and Clinical Health, or HITECH, Act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the Department of Health &amp; Human Services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Third-Party Reimbursement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  To date, patients of the TheraClear products have had limited success in obtaining third party reimbursement for such treatments.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Many private plans key their reimbursement rates to rates set by the CMS under three distinct CPT codes based on the total skin surface area being treated.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2022, the national rates were as follows: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96920 – designated for: the total area less than 250 square centimeters. CMS assigned a 2022 national payment of $162 per treatment;</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96921 – designated for: the total area 250 to 500 square centimeters. CMS assigned a 2022 national payment of $176 per treatment; and</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96922 – designated for: the total area over 500 square centimeters. CMS assigned a 2022 national payment of $240 per treatment.</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national rates are adjusted by overhead factors applicable to each state.</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Employees</w:t>
      </w:r>
    </w:p>
    <w:p>
      <w:pPr>
        <w:pStyle w:val="TextBody"/>
        <w:spacing w:before="0" w:after="0"/>
        <w:jc w:val="left"/>
        <w:rPr/>
      </w:pPr>
      <w:r>
        <w:rPr/>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As of December 31, 2022, we had 114 full-time employees, which consisted of 2 executive officers, 3 vice presidents, 60 sales and marketing staff, 17 people engaged in manufacturing of lasers, 16 customer-field service personnel, 4 engaged in research and development and 12 finance and administration staff.</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Customers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Domestically, our XTRAC customers consist of dermatologists and dermatological group clinics who partner with us primarily in our dermatology procedures recurring revenue model.  As of December 31, 2022, we have 909 partner clinics throughout the United States. Internationally, we have been transitioning our international dermatology procedures equipment sales through our master distributor to a direct distribution model for equipment sales and recurring revenue on a country by country basis.  We have signed distributor contracts by year as follows: 2019 – Korea, 2020 – Japan, 2021 – China, Israel, Saudi Arabia, Kuwait, Oman, Qatar, Bahrain, UAE, Jordan, Iraq and 2023 – Mexico.</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jc w:val="left"/>
        <w:rPr>
          <w:color w:val="000000"/>
        </w:rPr>
      </w:pPr>
      <w:r>
        <w:rPr>
          <w:color w:val="000000"/>
        </w:rPr>
        <w:t> </w:t>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 xml:space="preserve">We file annual, quarterly and current reports, proxy statements and other information with the Commission. These filings are available to the public on the Internet at the Commission’s website at </w:t>
      </w:r>
      <w:r>
        <w:rPr>
          <w:rFonts w:ascii="Times New Roman" w:hAnsi="Times New Roman"/>
          <w:color w:val="000000"/>
          <w:sz w:val="20"/>
          <w:u w:val="single"/>
        </w:rPr>
        <w:t>http://www.sec.gov</w:t>
      </w:r>
      <w:r>
        <w:rPr>
          <w:rFonts w:ascii="Times New Roman" w:hAnsi="Times New Roman"/>
          <w:color w:val="000000"/>
          <w:sz w:val="20"/>
        </w:rPr>
        <w:t>.</w:t>
      </w:r>
    </w:p>
    <w:p>
      <w:pPr>
        <w:pStyle w:val="TextBody"/>
        <w:spacing w:before="0" w:after="0"/>
        <w:jc w:val="left"/>
        <w:rPr>
          <w:color w:val="000000"/>
        </w:rPr>
      </w:pPr>
      <w:r>
        <w:rPr>
          <w:color w:val="000000"/>
        </w:rPr>
        <w:t> </w:t>
      </w:r>
    </w:p>
    <w:p>
      <w:pPr>
        <w:pStyle w:val="TextBody"/>
        <w:spacing w:before="0" w:after="0"/>
        <w:ind w:left="20" w:right="20" w:firstLine="648"/>
        <w:jc w:val="left"/>
        <w:rPr>
          <w:rFonts w:ascii="Times New Roman" w:hAnsi="Times New Roman"/>
          <w:color w:val="000000"/>
          <w:sz w:val="20"/>
        </w:rPr>
      </w:pPr>
      <w:r>
        <w:rPr>
          <w:rFonts w:ascii="Times New Roman" w:hAnsi="Times New Roman"/>
          <w:color w:val="000000"/>
          <w:sz w:val="20"/>
        </w:rPr>
        <w:t>Our Internet address is http://www.strataskinsciences.com (this website address is not intended to function as a hyperlink and the information contained on our website is not intended to be a part of this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Report and is intended to be an inactive textual reference only.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3" w:name="RISKFACTORS"/>
      <w:bookmarkStart w:id="4" w:name="RISKFACTORS"/>
      <w:bookmarkEnd w:id="4"/>
    </w:p>
    <w:tbl>
      <w:tblPr>
        <w:tblW w:w="2950" w:type="dxa"/>
        <w:jc w:val="left"/>
        <w:tblInd w:w="0" w:type="dxa"/>
        <w:tblCellMar>
          <w:top w:w="0" w:type="dxa"/>
          <w:left w:w="0" w:type="dxa"/>
          <w:bottom w:w="0" w:type="dxa"/>
          <w:right w:w="0" w:type="dxa"/>
        </w:tblCellMar>
      </w:tblPr>
      <w:tblGrid>
        <w:gridCol w:w="1100"/>
        <w:gridCol w:w="1850"/>
      </w:tblGrid>
      <w:tr>
        <w:trPr/>
        <w:tc>
          <w:tcPr>
            <w:tcW w:w="1100" w:type="dxa"/>
            <w:tcBorders/>
            <w:shd w:fill="auto" w:val="clear"/>
            <w:vAlign w:val="center"/>
          </w:tcPr>
          <w:p>
            <w:pPr>
              <w:pStyle w:val="TableContents"/>
              <w:spacing w:before="0" w:after="0"/>
              <w:jc w:val="both"/>
              <w:rPr>
                <w:b/>
              </w:rPr>
            </w:pPr>
            <w:r>
              <w:rPr>
                <w:b/>
              </w:rPr>
              <w:t>ITEM 1A.</w:t>
            </w:r>
          </w:p>
        </w:tc>
        <w:tc>
          <w:tcPr>
            <w:tcW w:w="1850" w:type="dxa"/>
            <w:tcBorders/>
            <w:shd w:fill="auto" w:val="clear"/>
            <w:vAlign w:val="center"/>
          </w:tcPr>
          <w:p>
            <w:pPr>
              <w:pStyle w:val="TableContents"/>
              <w:spacing w:before="0" w:after="0"/>
              <w:jc w:val="both"/>
              <w:rPr>
                <w:b/>
              </w:rPr>
            </w:pPr>
            <w:r>
              <w:rPr>
                <w:b/>
              </w:rPr>
              <w:t>RISK FACTORS</w:t>
            </w:r>
          </w:p>
        </w:tc>
      </w:tr>
    </w:tbl>
    <w:p>
      <w:pPr>
        <w:pStyle w:val="TextBody"/>
        <w:spacing w:before="0" w:after="0"/>
        <w:jc w:val="both"/>
        <w:rPr/>
      </w:pPr>
      <w:r>
        <w:rPr/>
      </w:r>
    </w:p>
    <w:p>
      <w:pPr>
        <w:pStyle w:val="TextBody"/>
        <w:spacing w:before="0" w:after="0"/>
        <w:ind w:left="0" w:right="0" w:firstLine="720"/>
        <w:jc w:val="left"/>
        <w:rPr>
          <w:rFonts w:ascii="Times New Roman" w:hAnsi="Times New Roman"/>
          <w:i/>
          <w:color w:val="000000"/>
          <w:sz w:val="20"/>
        </w:rPr>
      </w:pPr>
      <w:r>
        <w:rPr>
          <w:rFonts w:ascii="Times New Roman" w:hAnsi="Times New Roman"/>
          <w:i/>
          <w:color w:val="000000"/>
          <w:sz w:val="20"/>
        </w:rPr>
        <w:t>In addition to the other information contained in this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 Factor Summary</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Risks Relating to Our Business Operations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have incurred losses for a number of years and anticipate that we will incur continued losses for the foreseeable future.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results of operations have been, and may continue to be, negatively impacted by COVID-19 or other future outbreak of any other highly infectious or contagious diseases.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not be able to maintain an uninterrupted supply of the gases used to power our lasers, as the Russia-Ukraine War has disrupted supplies of rare gases.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acquire other assets or businesses, or form collaborations or make investments in other companies or technologies that could harm our operating results, dilute our stockholders’ ownership, increase our debt or cause us to incur significant expense.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not be able to successfully integrate newly acquired businesses, joint ventures and other partnerships into our operations or achieve expected profitability from our acquisitions.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success of our products depends on third-party reimbursement of patients’ costs, which could result in potentially reduced prices or reduced demand and adversely affect our revenues and business operations.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continuing development of our products depends upon our developing and maintaining strong working relationships with physicians.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Any failure in our customer education efforts could have a material adverse effect on our revenue and cash flow.</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revenue from significant distributors declines, we may have difficulty replacing the lost revenue, which would negatively affect our results and operations.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we fail to manage our sales and marketing force or to market and distribute our products effectively, we may experience diminished revenues and profits.</w:t>
            </w:r>
          </w:p>
        </w:tc>
      </w:tr>
    </w:tbl>
    <w:p>
      <w:pPr>
        <w:pStyle w:val="TextBody"/>
        <w:spacing w:before="0" w:after="0"/>
        <w:rPr/>
      </w:pPr>
      <w:r>
        <w:rPr/>
      </w:r>
    </w:p>
    <w:tbl>
      <w:tblPr>
        <w:tblW w:w="7578" w:type="dxa"/>
        <w:jc w:val="left"/>
        <w:tblInd w:w="0" w:type="dxa"/>
        <w:tblCellMar>
          <w:top w:w="0" w:type="dxa"/>
          <w:left w:w="0" w:type="dxa"/>
          <w:bottom w:w="0" w:type="dxa"/>
          <w:right w:w="0" w:type="dxa"/>
        </w:tblCellMar>
      </w:tblPr>
      <w:tblGrid>
        <w:gridCol w:w="38"/>
        <w:gridCol w:w="110"/>
        <w:gridCol w:w="74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430" w:type="dxa"/>
            <w:tcBorders/>
            <w:shd w:fill="auto" w:val="clear"/>
            <w:vAlign w:val="center"/>
          </w:tcPr>
          <w:p>
            <w:pPr>
              <w:pStyle w:val="TableContents"/>
              <w:spacing w:before="0" w:after="0"/>
              <w:rPr/>
            </w:pPr>
            <w:r>
              <w:rPr/>
              <w:t>We are reliant on a limited number of suppliers for production of our products.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our actual liability for state sales and use taxes is higher than our accrued liability, it could have a material impact on our financial condition.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failure to respond to rapid changes in technology and other applications in the medical devices industry or the development of a cure for skin conditions treated by our products could make our treatment system obsolete.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customers, or physicians and technicians, as the case may be, may misuse certain of our products, and product liability lawsuits and other damages imposed on us may exceed our insurance coverage, or we may be subject to claims that are not covered by insurance.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must comply with complex statutes prohibiting fraud and abuse, and both we and physicians utilizing our products could be subject to significant penalties for noncompliance.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be subject, directly or indirectly, to federal and state healthcare fraud and abuse laws and regulations and could face substantial penalties if we are unable to fully comply with such laws.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the effectiveness and safety of our devices are not supported by long-term data, and the level of acceptance of our products by dermatologists does not increase or is not maintained, our revenues could decline.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failure to obtain or maintain necessary FDA clearances and approvals, or to maintain continued clearances, or equivalents thereof in the U.S. and relevant foreign markets, could hurt our ability to distribute and market our products.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required, clinical trials necessary to support a 510(k) notice or PMA application, for new or modified products, will be expensive and will require the enrollment of large numbers of patients, and suitable patients may be difficult to identify and recruit.</w:t>
            </w:r>
          </w:p>
        </w:tc>
      </w:tr>
    </w:tbl>
    <w:p>
      <w:pPr>
        <w:pStyle w:val="TextBody"/>
        <w:spacing w:before="0" w:after="0"/>
        <w:rPr/>
      </w:pPr>
      <w:r>
        <w:rPr/>
      </w:r>
    </w:p>
    <w:tbl>
      <w:tblPr>
        <w:tblW w:w="7278" w:type="dxa"/>
        <w:jc w:val="left"/>
        <w:tblInd w:w="0" w:type="dxa"/>
        <w:tblCellMar>
          <w:top w:w="0" w:type="dxa"/>
          <w:left w:w="0" w:type="dxa"/>
          <w:bottom w:w="0" w:type="dxa"/>
          <w:right w:w="0" w:type="dxa"/>
        </w:tblCellMar>
      </w:tblPr>
      <w:tblGrid>
        <w:gridCol w:w="38"/>
        <w:gridCol w:w="110"/>
        <w:gridCol w:w="71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130" w:type="dxa"/>
            <w:tcBorders/>
            <w:shd w:fill="auto" w:val="clear"/>
            <w:vAlign w:val="center"/>
          </w:tcPr>
          <w:p>
            <w:pPr>
              <w:pStyle w:val="TableContents"/>
              <w:spacing w:before="0" w:after="0"/>
              <w:rPr/>
            </w:pPr>
            <w:r>
              <w:rPr/>
              <w:t>Our medical device operations are subject to FDA regulatory requirements.</w:t>
            </w:r>
          </w:p>
        </w:tc>
      </w:tr>
    </w:tbl>
    <w:p>
      <w:pPr>
        <w:pStyle w:val="TextBody"/>
        <w:spacing w:before="0" w:after="0"/>
        <w:jc w:val="left"/>
        <w:rPr>
          <w:color w:val="000000"/>
        </w:rPr>
      </w:pPr>
      <w:r>
        <w:rPr>
          <w:color w:val="000000"/>
        </w:rPr>
        <w:t> </w:t>
      </w:r>
    </w:p>
    <w:tbl>
      <w:tblPr>
        <w:tblW w:w="6618" w:type="dxa"/>
        <w:jc w:val="left"/>
        <w:tblInd w:w="0" w:type="dxa"/>
        <w:tblCellMar>
          <w:top w:w="0" w:type="dxa"/>
          <w:left w:w="0" w:type="dxa"/>
          <w:bottom w:w="0" w:type="dxa"/>
          <w:right w:w="0" w:type="dxa"/>
        </w:tblCellMar>
      </w:tblPr>
      <w:tblGrid>
        <w:gridCol w:w="38"/>
        <w:gridCol w:w="110"/>
        <w:gridCol w:w="64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470" w:type="dxa"/>
            <w:tcBorders/>
            <w:shd w:fill="auto" w:val="clear"/>
            <w:vAlign w:val="center"/>
          </w:tcPr>
          <w:p>
            <w:pPr>
              <w:pStyle w:val="TableContents"/>
              <w:spacing w:before="0" w:after="0"/>
              <w:rPr/>
            </w:pPr>
            <w:r>
              <w:rPr/>
              <w:t>Healthcare policy changes may have a material adverse effect on us.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market acceptance in international markets requires regulatory approvals from foreign governments and may depend on third party reimbursement of participants’ cost.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face substantial competition, which may result in others discovering, developing or commercializing products more successfully than us.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Consolidation in the medical device industry could have an adverse effect on our revenue and results of operations.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actively employ social media as part of our marketing strategy, which could give rise to regulatory violations, liability, breaches of data security or reputational damage.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Social media companies on which we rely for advertising may change their policies limiting our ability to reach our target markets.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we or our third-party manufacturers or suppliers fail to comply with the FDA’s Quality System Regulation or any applicable state equivalent, our manufacturing operations could be interrupted and our potential product sales and operating results could suffer.</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we fail to comply with ongoing regulatory requirements, or if we experience unanticipated problems with products, these products could be subject to restrictions or withdrawal from the market.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medical products may in the future be subject to product recalls that could harm our reputation, business and financial results.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any of our medical products cause or contribute to a death or a serious injury, or malfunction in certain ways, we will be subject to medical device reporting regulations, which can result in voluntary corrective actions or agency enforcement actions.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have a need for additional funds in the future and there is no guarantee that we will be able to generate those funds from our business.</w:t>
            </w:r>
          </w:p>
        </w:tc>
      </w:tr>
    </w:tbl>
    <w:p>
      <w:pPr>
        <w:pStyle w:val="TextBody"/>
        <w:spacing w:before="0" w:after="0"/>
        <w:rPr/>
      </w:pPr>
      <w:r>
        <w:rPr/>
      </w:r>
    </w:p>
    <w:tbl>
      <w:tblPr>
        <w:tblW w:w="9363" w:type="dxa"/>
        <w:jc w:val="left"/>
        <w:tblInd w:w="0" w:type="dxa"/>
        <w:tblCellMar>
          <w:top w:w="0" w:type="dxa"/>
          <w:left w:w="0" w:type="dxa"/>
          <w:bottom w:w="0" w:type="dxa"/>
          <w:right w:w="0" w:type="dxa"/>
        </w:tblCellMar>
      </w:tblPr>
      <w:tblGrid>
        <w:gridCol w:w="38"/>
        <w:gridCol w:w="110"/>
        <w:gridCol w:w="92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0"/>
              <w:rPr/>
            </w:pPr>
            <w:r>
              <w:rPr/>
              <w:t>If we do not have enough capital to fund operations, then we will have to cut costs or raise funds.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may be subject to disruptions or failures in our information technology systems and network infrastructures, including through cyber-attacks or other third-party breaches that could have a material adverse effect on our business.</w:t>
            </w:r>
          </w:p>
        </w:tc>
      </w:tr>
    </w:tbl>
    <w:p>
      <w:pPr>
        <w:pStyle w:val="TextBody"/>
        <w:spacing w:before="0" w:after="0"/>
        <w:rPr/>
      </w:pPr>
      <w:r>
        <w:rPr/>
      </w:r>
    </w:p>
    <w:tbl>
      <w:tblPr>
        <w:tblW w:w="10128" w:type="dxa"/>
        <w:jc w:val="left"/>
        <w:tblInd w:w="0" w:type="dxa"/>
        <w:tblCellMar>
          <w:top w:w="0" w:type="dxa"/>
          <w:left w:w="0" w:type="dxa"/>
          <w:bottom w:w="0" w:type="dxa"/>
          <w:right w:w="0" w:type="dxa"/>
        </w:tblCellMar>
      </w:tblPr>
      <w:tblGrid>
        <w:gridCol w:w="38"/>
        <w:gridCol w:w="110"/>
        <w:gridCol w:w="99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980" w:type="dxa"/>
            <w:tcBorders/>
            <w:shd w:fill="auto" w:val="clear"/>
            <w:vAlign w:val="center"/>
          </w:tcPr>
          <w:p>
            <w:pPr>
              <w:pStyle w:val="TableContents"/>
              <w:spacing w:before="0" w:after="0"/>
              <w:rPr/>
            </w:pPr>
            <w:r>
              <w:rPr/>
              <w:t>Environmental and health safety laws may result in liabilities, expenses and restrictions on our operations.</w:t>
            </w:r>
          </w:p>
        </w:tc>
      </w:tr>
    </w:tbl>
    <w:p>
      <w:pPr>
        <w:pStyle w:val="TextBody"/>
        <w:spacing w:before="0" w:after="0"/>
        <w:jc w:val="both"/>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Risks Relating to Our Common Stock</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shares of common stock could be delisted from the Nasdaq Capital Market which could result in, among other things, a decline in the price of our common stock and less liquidity for holders of shares of our common stock.</w:t>
            </w:r>
          </w:p>
        </w:tc>
      </w:tr>
    </w:tbl>
    <w:p>
      <w:pPr>
        <w:pStyle w:val="TextBody"/>
        <w:spacing w:before="0" w:after="0"/>
        <w:jc w:val="left"/>
        <w:rPr>
          <w:color w:val="000000"/>
        </w:rPr>
      </w:pPr>
      <w:r>
        <w:rPr>
          <w:color w:val="000000"/>
        </w:rPr>
        <w:t> </w:t>
      </w:r>
    </w:p>
    <w:tbl>
      <w:tblPr>
        <w:tblW w:w="4968" w:type="dxa"/>
        <w:jc w:val="left"/>
        <w:tblInd w:w="0" w:type="dxa"/>
        <w:tblCellMar>
          <w:top w:w="0" w:type="dxa"/>
          <w:left w:w="0" w:type="dxa"/>
          <w:bottom w:w="0" w:type="dxa"/>
          <w:right w:w="0" w:type="dxa"/>
        </w:tblCellMar>
      </w:tblPr>
      <w:tblGrid>
        <w:gridCol w:w="38"/>
        <w:gridCol w:w="110"/>
        <w:gridCol w:w="48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0"/>
              <w:rPr/>
            </w:pPr>
            <w:r>
              <w:rPr/>
              <w:t>Your percentage ownership will be further diluted.</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In the event of certain contingencies, the investors in the May 2018 Equity Financing may receive additional shares issued pursuant to the Retained Risk Provisions as defined in the purchase agreements.</w:t>
            </w:r>
          </w:p>
        </w:tc>
      </w:tr>
    </w:tbl>
    <w:p>
      <w:pPr>
        <w:pStyle w:val="TextBody"/>
        <w:spacing w:before="0" w:after="0"/>
        <w:rPr/>
      </w:pPr>
      <w:r>
        <w:rPr/>
      </w:r>
    </w:p>
    <w:tbl>
      <w:tblPr>
        <w:tblW w:w="10053" w:type="dxa"/>
        <w:jc w:val="left"/>
        <w:tblInd w:w="0" w:type="dxa"/>
        <w:tblCellMar>
          <w:top w:w="0" w:type="dxa"/>
          <w:left w:w="0" w:type="dxa"/>
          <w:bottom w:w="0" w:type="dxa"/>
          <w:right w:w="0" w:type="dxa"/>
        </w:tblCellMar>
      </w:tblPr>
      <w:tblGrid>
        <w:gridCol w:w="38"/>
        <w:gridCol w:w="110"/>
        <w:gridCol w:w="99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905" w:type="dxa"/>
            <w:tcBorders/>
            <w:shd w:fill="auto" w:val="clear"/>
            <w:vAlign w:val="center"/>
          </w:tcPr>
          <w:p>
            <w:pPr>
              <w:pStyle w:val="TableContents"/>
              <w:spacing w:before="0" w:after="0"/>
              <w:rPr/>
            </w:pPr>
            <w:r>
              <w:rPr/>
              <w:t>Our stock price may be volatile, meaning purchasers of our common stock could incur substantial losses.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charter documents and Delaware law may inhibit a takeover that stockholders consider favorable and could also limit the market price of our stock.</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Relating to Our Business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have incurred losses for a number of years and anticipate that we will incur continued losses for the near future.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Since 2015, we have devoted substantially all of our resources in the commercialization and sales of the XTRAC products. Our net loss for the year ended December 31, 2022 was approximately $5.5 million, and as of December 31, 2022, we had an accumulated deficit of approximately $227 million. Our losses, among other things, have had and may continue to have an adverse effect on the adequacy of our capitalization and cash flow. We believe that our cash and cash equivalents as of December 31, 2022, combined with the anticipated revenues from the sale of our product and operating expense management, will be sufficient to satisfy our working capital needs, lasers placed-in-service, capital asset purchases, outstanding commitments and other liquidity requirements associated with our existing operations through at least the next 12 months following the filing of this Report.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results of operations have been, and may continue to be, negatively impacted by COVID-19 or other future outbreak of any other highly infectious or contagious diseases.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December 2019, a novel strain of coronavirus (COVID-19) was reported to have surfaced in Wuhan, China. COVID-19 has since spread to over 100 countries, including every state in the United States. In the last 36 months, the United States and the world have experienced various levels of government shutdowns, closures and quarantines.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outbreak of COVID-19 has severely impacted global economic activity and caused significant volatility and negative pressure in financial markets, global supply chains, labor supply and inflation. This outbreak has triggered a period of global economic slowdown and a change in the behavior of the ultimate consumer of our products and services, which could continue for some time which cannot be predicted. COVID-19 or another pandemic has or could have material and adverse effects on our ability to successfully operate our business due to, among other factors:</w:t>
      </w:r>
    </w:p>
    <w:p>
      <w:pPr>
        <w:pStyle w:val="TextBody"/>
        <w:spacing w:before="0" w:after="0"/>
        <w:jc w:val="left"/>
        <w:rPr/>
      </w:pPr>
      <w:r>
        <w:rPr/>
      </w:r>
    </w:p>
    <w:tbl>
      <w:tblPr>
        <w:tblW w:w="3678" w:type="dxa"/>
        <w:jc w:val="left"/>
        <w:tblInd w:w="0" w:type="dxa"/>
        <w:tblCellMar>
          <w:top w:w="0" w:type="dxa"/>
          <w:left w:w="0" w:type="dxa"/>
          <w:bottom w:w="0" w:type="dxa"/>
          <w:right w:w="0" w:type="dxa"/>
        </w:tblCellMar>
      </w:tblPr>
      <w:tblGrid>
        <w:gridCol w:w="38"/>
        <w:gridCol w:w="110"/>
        <w:gridCol w:w="35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3530" w:type="dxa"/>
            <w:tcBorders/>
            <w:shd w:fill="auto" w:val="clear"/>
            <w:vAlign w:val="center"/>
          </w:tcPr>
          <w:p>
            <w:pPr>
              <w:pStyle w:val="TableContents"/>
              <w:spacing w:before="0" w:after="0"/>
              <w:rPr>
                <w:color w:val="000000"/>
              </w:rPr>
            </w:pPr>
            <w:r>
              <w:rPr>
                <w:color w:val="000000"/>
              </w:rPr>
              <w:t>a general decline in business activity;</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destabilization of the markets and negative impacts on the healthcare system globally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potential negative impact on the health of our employees, especially if a significant number of them are impacted;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impact of the pandemic on our customers, which may result in a decrease in the use of our products and services as well as an increase in past due accounts receivable, write-offs and customer bankruptcies; and</w:t>
            </w:r>
          </w:p>
        </w:tc>
      </w:tr>
    </w:tbl>
    <w:p>
      <w:pPr>
        <w:pStyle w:val="TextBody"/>
        <w:spacing w:before="0" w:after="0"/>
        <w:rPr/>
      </w:pPr>
      <w:r>
        <w:rPr/>
      </w:r>
    </w:p>
    <w:tbl>
      <w:tblPr>
        <w:tblW w:w="7473" w:type="dxa"/>
        <w:jc w:val="left"/>
        <w:tblInd w:w="0" w:type="dxa"/>
        <w:tblCellMar>
          <w:top w:w="0" w:type="dxa"/>
          <w:left w:w="0" w:type="dxa"/>
          <w:bottom w:w="0" w:type="dxa"/>
          <w:right w:w="0" w:type="dxa"/>
        </w:tblCellMar>
      </w:tblPr>
      <w:tblGrid>
        <w:gridCol w:w="38"/>
        <w:gridCol w:w="110"/>
        <w:gridCol w:w="73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325" w:type="dxa"/>
            <w:tcBorders/>
            <w:shd w:fill="auto" w:val="clear"/>
            <w:vAlign w:val="center"/>
          </w:tcPr>
          <w:p>
            <w:pPr>
              <w:pStyle w:val="TableContents"/>
              <w:spacing w:before="0" w:after="0"/>
              <w:rPr>
                <w:color w:val="000000"/>
              </w:rPr>
            </w:pPr>
            <w:r>
              <w:rPr>
                <w:color w:val="000000"/>
              </w:rPr>
              <w:t>a deterioration in our ability to ensure business continuity during a disruption.</w:t>
            </w:r>
          </w:p>
        </w:tc>
      </w:tr>
    </w:tbl>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not be able to maintain an uninterrupted supply of the gases used to power our lasers, as the Russia-Ukraine War has disrupted supplies of rare gases.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Prior to the outbreak of the Russia-Ukraine War, Ukraine was the world’s largest exporter of noble gases including neon, krypton and xenon. Historically, Ukraine has been the source of a significant amount of gas supplied to the Company by our contract suppliers. Neon gas is essential to the proper functioning of our lasers. Our suppliers have been resourceful in continuing to supply gases to us but cannot assure us that the supply will remain uninterrupted. The reduced supply and war have raised the price of gas significantly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 caused by this war.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acquire other assets or businesses, or form collaborations or make investments in other companies or technologies that could harm our operating results, dilute our stockholders’ ownership, increase our debt or cause us to incur significant expense.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not be able to successfully integrate newly acquired businesses, joint ventures and other partnerships into our operations or achieve expected profitability from our acquisitions.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If we cannot successfully integrate acquisitions (including the Pharos and TheraClear businesses),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pStyle w:val="TextBody"/>
        <w:spacing w:before="0" w:after="0"/>
        <w:jc w:val="left"/>
        <w:rPr/>
      </w:pPr>
      <w:r>
        <w:rPr/>
      </w:r>
    </w:p>
    <w:tbl>
      <w:tblPr>
        <w:tblW w:w="9378" w:type="dxa"/>
        <w:jc w:val="left"/>
        <w:tblInd w:w="0" w:type="dxa"/>
        <w:tblCellMar>
          <w:top w:w="0" w:type="dxa"/>
          <w:left w:w="0" w:type="dxa"/>
          <w:bottom w:w="0" w:type="dxa"/>
          <w:right w:w="0" w:type="dxa"/>
        </w:tblCellMar>
      </w:tblPr>
      <w:tblGrid>
        <w:gridCol w:w="38"/>
        <w:gridCol w:w="110"/>
        <w:gridCol w:w="92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9230" w:type="dxa"/>
            <w:tcBorders/>
            <w:shd w:fill="auto" w:val="clear"/>
            <w:vAlign w:val="center"/>
          </w:tcPr>
          <w:p>
            <w:pPr>
              <w:pStyle w:val="TableContents"/>
              <w:spacing w:before="0" w:after="0"/>
              <w:rPr>
                <w:color w:val="000000"/>
              </w:rPr>
            </w:pPr>
            <w:r>
              <w:rPr>
                <w:color w:val="000000"/>
              </w:rPr>
              <w:t>unforeseen difficulties in integrating operations, technologies, services, accounting and personnel;</w:t>
            </w:r>
          </w:p>
        </w:tc>
      </w:tr>
    </w:tbl>
    <w:p>
      <w:pPr>
        <w:pStyle w:val="TextBody"/>
        <w:spacing w:before="0" w:after="0"/>
        <w:rPr/>
      </w:pPr>
      <w:r>
        <w:rPr/>
      </w:r>
    </w:p>
    <w:tbl>
      <w:tblPr>
        <w:tblW w:w="7188" w:type="dxa"/>
        <w:jc w:val="left"/>
        <w:tblInd w:w="0" w:type="dxa"/>
        <w:tblCellMar>
          <w:top w:w="0" w:type="dxa"/>
          <w:left w:w="0" w:type="dxa"/>
          <w:bottom w:w="0" w:type="dxa"/>
          <w:right w:w="0" w:type="dxa"/>
        </w:tblCellMar>
      </w:tblPr>
      <w:tblGrid>
        <w:gridCol w:w="38"/>
        <w:gridCol w:w="110"/>
        <w:gridCol w:w="70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040" w:type="dxa"/>
            <w:tcBorders/>
            <w:shd w:fill="auto" w:val="clear"/>
            <w:vAlign w:val="center"/>
          </w:tcPr>
          <w:p>
            <w:pPr>
              <w:pStyle w:val="TableContents"/>
              <w:spacing w:before="0" w:after="0"/>
              <w:rPr>
                <w:color w:val="000000"/>
              </w:rPr>
            </w:pPr>
            <w:r>
              <w:rPr>
                <w:color w:val="000000"/>
              </w:rPr>
              <w:t>diversion of financial and management resources from existing operations;</w:t>
            </w:r>
          </w:p>
        </w:tc>
      </w:tr>
    </w:tbl>
    <w:p>
      <w:pPr>
        <w:pStyle w:val="TextBody"/>
        <w:spacing w:before="0" w:after="0"/>
        <w:rPr/>
      </w:pPr>
      <w:r>
        <w:rPr/>
      </w:r>
    </w:p>
    <w:tbl>
      <w:tblPr>
        <w:tblW w:w="9693" w:type="dxa"/>
        <w:jc w:val="left"/>
        <w:tblInd w:w="0" w:type="dxa"/>
        <w:tblCellMar>
          <w:top w:w="0" w:type="dxa"/>
          <w:left w:w="0" w:type="dxa"/>
          <w:bottom w:w="0" w:type="dxa"/>
          <w:right w:w="0" w:type="dxa"/>
        </w:tblCellMar>
      </w:tblPr>
      <w:tblGrid>
        <w:gridCol w:w="38"/>
        <w:gridCol w:w="110"/>
        <w:gridCol w:w="95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9545" w:type="dxa"/>
            <w:tcBorders/>
            <w:shd w:fill="auto" w:val="clear"/>
            <w:vAlign w:val="center"/>
          </w:tcPr>
          <w:p>
            <w:pPr>
              <w:pStyle w:val="TableContents"/>
              <w:spacing w:before="0" w:after="0"/>
              <w:rPr>
                <w:color w:val="000000"/>
              </w:rPr>
            </w:pPr>
            <w:r>
              <w:rPr>
                <w:color w:val="000000"/>
              </w:rPr>
              <w:t>unforeseen difficulties related to entering geographic regions where we do not have prior experience;</w:t>
            </w:r>
          </w:p>
        </w:tc>
      </w:tr>
    </w:tbl>
    <w:p>
      <w:pPr>
        <w:pStyle w:val="TextBody"/>
        <w:spacing w:before="0" w:after="0"/>
        <w:rPr/>
      </w:pPr>
      <w:r>
        <w:rPr/>
      </w:r>
    </w:p>
    <w:tbl>
      <w:tblPr>
        <w:tblW w:w="6273" w:type="dxa"/>
        <w:jc w:val="left"/>
        <w:tblInd w:w="0" w:type="dxa"/>
        <w:tblCellMar>
          <w:top w:w="0" w:type="dxa"/>
          <w:left w:w="0" w:type="dxa"/>
          <w:bottom w:w="0" w:type="dxa"/>
          <w:right w:w="0" w:type="dxa"/>
        </w:tblCellMar>
      </w:tblPr>
      <w:tblGrid>
        <w:gridCol w:w="38"/>
        <w:gridCol w:w="110"/>
        <w:gridCol w:w="61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125" w:type="dxa"/>
            <w:tcBorders/>
            <w:shd w:fill="auto" w:val="clear"/>
            <w:vAlign w:val="center"/>
          </w:tcPr>
          <w:p>
            <w:pPr>
              <w:pStyle w:val="TableContents"/>
              <w:spacing w:before="0" w:after="0"/>
              <w:rPr>
                <w:color w:val="000000"/>
              </w:rPr>
            </w:pPr>
            <w:r>
              <w:rPr>
                <w:color w:val="000000"/>
              </w:rPr>
              <w:t>risks relating to obtaining sufficient equity or debt financing; and</w:t>
            </w:r>
          </w:p>
        </w:tc>
      </w:tr>
    </w:tbl>
    <w:p>
      <w:pPr>
        <w:pStyle w:val="TextBody"/>
        <w:spacing w:before="0" w:after="0"/>
        <w:rPr/>
      </w:pPr>
      <w:r>
        <w:rPr/>
      </w:r>
    </w:p>
    <w:tbl>
      <w:tblPr>
        <w:tblW w:w="2733" w:type="dxa"/>
        <w:jc w:val="left"/>
        <w:tblInd w:w="0" w:type="dxa"/>
        <w:tblCellMar>
          <w:top w:w="0" w:type="dxa"/>
          <w:left w:w="0" w:type="dxa"/>
          <w:bottom w:w="0" w:type="dxa"/>
          <w:right w:w="0" w:type="dxa"/>
        </w:tblCellMar>
      </w:tblPr>
      <w:tblGrid>
        <w:gridCol w:w="38"/>
        <w:gridCol w:w="110"/>
        <w:gridCol w:w="25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2585" w:type="dxa"/>
            <w:tcBorders/>
            <w:shd w:fill="auto" w:val="clear"/>
            <w:vAlign w:val="center"/>
          </w:tcPr>
          <w:p>
            <w:pPr>
              <w:pStyle w:val="TableContents"/>
              <w:spacing w:before="0" w:after="0"/>
              <w:rPr>
                <w:color w:val="000000"/>
              </w:rPr>
            </w:pPr>
            <w:r>
              <w:rPr>
                <w:color w:val="000000"/>
              </w:rPr>
              <w:t>potential loss of customers.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pStyle w:val="TextBody"/>
        <w:spacing w:before="0" w:after="0"/>
        <w:jc w:val="left"/>
        <w:rPr/>
      </w:pPr>
      <w:r>
        <w:rPr/>
      </w:r>
    </w:p>
    <w:p>
      <w:pPr>
        <w:pStyle w:val="TextBody"/>
        <w:spacing w:before="0" w:after="0"/>
        <w:ind w:left="0" w:right="0" w:firstLine="718"/>
        <w:jc w:val="left"/>
        <w:rPr>
          <w:rFonts w:ascii="Times New Roman" w:hAnsi="Times New Roman"/>
          <w:color w:val="000000"/>
          <w:sz w:val="20"/>
        </w:rPr>
      </w:pPr>
      <w:r>
        <w:rPr>
          <w:rFonts w:ascii="Times New Roman" w:hAnsi="Times New Roman"/>
          <w:color w:val="000000"/>
          <w:sz w:val="20"/>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The success of our products depends on third-party reimbursement of patients’ costs, which could result in potentially reduced prices or reduced demand and adversely affect our revenues and business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 the XTRAC system. Accordingly, if less costly drugs or other treatments are available, third-party payers may not authorize or may limit reimbursement for the use of our products, even if our products are safer or more effective than the alternatives.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2021, we estimate, based on published coverage policies and on payment practices of private and Medicare insurance plans, that more than 86%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Currently, there is little insurance reimbursement coverage for acne treatments, such as those provided by TheraClear. In order for TheraClear to be successful, patients and decision makers will need to be able to pay for treatments without insurance reimbursement.</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The continuing development of our products depends upon our developing and maintaining strong working relationships with physicians.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U.S. Department of Health and Human Services Office of Inspector General, or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Any failure in our customer education efforts could have a material adverse effect on our revenue and cash flow.</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revenue from significant distributors declines, we may have difficulty replacing the lost revenue, which would negatively affect our results and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depend on several key distributors for a material portion of our sales, especially in our international business.  While we no longer rely upon a single master distributor for our international sales, we now rely upon several in-country distributors in connection with this business.  If, for example, a distributor finds that the financial incentives underlying the distributor relationship are no longer attractive, we may need to reduce our margins in order to continue the relationship or identify a new distributor, which could take a significant amount of time.  This could have a significant negative effect on our results and our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If we fail to manage our sales and marketing force or to market and distribute our products effectively, we may experience diminished revenues and profits.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There are significant risks involved in managing our sales and marketing force and marketing our products, including our ability:</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to hire, as needed, a sufficient number of qualified sales and marketing personnel with the aptitude, skills and understanding to market our products;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to adequately train our sales and marketing force in the use and benefits of all our products and services, thereby making them more effective promoters;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to manage our sales and marketing force and our ancillary channels (e.g., telesales) such that variable and semi-fixed expenses grow at a lesser rate than our revenues;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to set the prices and other terms and conditions for treatments using the XTRAC system in a complex legal environment so that treatments will be accepted as attractive skin health and appropriate alternatives to conventional modalities and treatments</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are reliant on a limited number of suppliers for production of our products.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September 2021, we entered into an $8.0 million secured borrowing facility (the “Senior Credit Facility”) with MidCap. The Senior Credit Facility bears interest at LIBOR plus 7.50%, with a LIBOR floor of 0.50%, and matures on September 1, 2026. In September 2022, we amended the Senior Credit Facility to transition, upon the cessation of LIBOR, to one-month Secured Overnight Financing Rate (“SOFR”), or such other applicable period, plus 0.10%, with a floor of 0.50%. We are obligated to make interest-only payments through September 2024. From October 2024 to Maturity, we will make principal payments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 See “Management’s Discussion and Analysis of Financial Condition and Results of Operations - Liquidity and Capital Resources” for discussion included in Item 7 of this Annual Report on Form 10-K. In addition, subject to restrictions in the agreements governing our credit facilities, we may incur additional debt.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indebtedness could have negative consequences, including the following:</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it may be difficult for us to satisfy our obligations, including debt service requirements under our outstanding debt, resulting in possible defaults on and acceleration of such indebtedness;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our ability to obtain additional financing for working capital, capital expenditures, debt service requirements, acquisitions or other general corporate purposes may be impaired;</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a substantial portion of cash flow from operations may be dedicated to the payment of principal and interest on our debt, therefore reducing our ability to use our cash flow to fund our operations, capital expenditures, future business opportunities, acquisitions and other purposes;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we are more vulnerable to economic downturns and adverse industry conditions and our flexibility to plan for, or react to, changes in our business or industry is more limited;</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our ability to capitalize on business opportunities and to react to competitive pressures, as compared to our competitors, may be compromised due to our high level of debt; and</w:t>
            </w:r>
          </w:p>
        </w:tc>
      </w:tr>
    </w:tbl>
    <w:tbl>
      <w:tblPr>
        <w:tblW w:w="7113" w:type="dxa"/>
        <w:jc w:val="left"/>
        <w:tblInd w:w="0" w:type="dxa"/>
        <w:tblCellMar>
          <w:top w:w="0" w:type="dxa"/>
          <w:left w:w="0" w:type="dxa"/>
          <w:bottom w:w="0" w:type="dxa"/>
          <w:right w:w="0" w:type="dxa"/>
        </w:tblCellMar>
      </w:tblPr>
      <w:tblGrid>
        <w:gridCol w:w="38"/>
        <w:gridCol w:w="110"/>
        <w:gridCol w:w="69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965" w:type="dxa"/>
            <w:tcBorders/>
            <w:shd w:fill="auto" w:val="clear"/>
            <w:vAlign w:val="center"/>
          </w:tcPr>
          <w:p>
            <w:pPr>
              <w:pStyle w:val="TableContents"/>
              <w:spacing w:before="0" w:after="0"/>
              <w:rPr>
                <w:color w:val="000000"/>
              </w:rPr>
            </w:pPr>
            <w:r>
              <w:rPr>
                <w:color w:val="000000"/>
              </w:rPr>
              <w:t>our ability to borrow additional funds or to refinance debt may be limited.</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Furthermore, all of our debt under the Senior Credit Facility bears interest at variable rates. As these rates increase as they did in 2022, our debt service obligations increase even though the amount borrowed remains the same, and our net income and cash flows, including cash available for servicing our indebtedness, correspondingly decrease. If interest rates continue to increase, we will see a corresponding increase in these obligations. Accordingly, our ability to borrow additional funds may be reduced and risks related to our indebtedness would intensify. Each quarter-point increase in the variable interest rates would increase interest expense on our current variable rate debt by approximately $20 thousand during 2023.</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Financial Conduct Authority (the authority that regulates the London Interbank Offer Rate (“LIBOR”) announced it intended to stop compelling banks to submit rates for the calculation of LIBOR after June 30, 2022. As discussed above, we amended the Senior Credit Facility to transition to SOFR upon such occurrence. SOFR is a daily index of the interest rate banks and hedge funds pay to borrow money overnight, secured by U.S. Treasury securities. We also anticipate that we may use SOFR as the interest rate index in future agreements. SOFR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can be no assurance that SOFR will perform in the same way as LIBOR would have done at any time, and there is no guarantee that it is a comparable substitute for LIBOR.</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our actual liability for state sales and use taxes is higher than our accrued liability, it could have a material impact on our financial condition.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pStyle w:val="TextBody"/>
        <w:spacing w:before="0" w:after="0"/>
        <w:ind w:left="0" w:right="0" w:firstLine="718"/>
        <w:jc w:val="left"/>
        <w:rPr/>
      </w:pPr>
      <w:r>
        <w:rPr/>
      </w:r>
    </w:p>
    <w:p>
      <w:pPr>
        <w:pStyle w:val="TextBody"/>
        <w:spacing w:before="0" w:after="0"/>
        <w:ind w:left="0" w:right="0" w:firstLine="718"/>
        <w:jc w:val="left"/>
        <w:rPr>
          <w:rFonts w:ascii="Times New Roman" w:hAnsi="Times New Roman"/>
          <w:color w:val="000000"/>
          <w:sz w:val="20"/>
        </w:rPr>
      </w:pPr>
      <w:r>
        <w:rPr>
          <w:rFonts w:ascii="Times New Roman" w:hAnsi="Times New Roman"/>
          <w:color w:val="000000"/>
          <w:sz w:val="20"/>
        </w:rPr>
        <w:t>In the ordinary course of business, we are, from time to time, subject to audits performed by state taxing authorities. These actions and proceedings are generally based on the state’s position that the arrangements entered into by the Company are subject to state sales and use tax rather than exempt from applicable law. We are currently under audit by two taxing jurisdictions as it pertains to state sales and/or use tax. The State of New York has assessed us, in two assessments, an aggregate amount of $1.5 million for the period from March 2014 through February 2020 including penalties and interest. In January 2021, we received notification that the administrative judge in this jurisdiction had issued an opinion finding in favor of us that the sale of XTRAC treatment codes were not taxable as sales tax with respect to the first assessment. The relevant taxing authority filed an appeal of the administrative law judge’s finding and, following the submission of legal briefs by both sides and an oral argument held in January 2022 and, on May 6, 2022, we received a written decision from the State of New York Tax Appeals Tribunal (the “Tribunal”) overturning the favorable sales tax determination of the administrative law judge.  We filed an appeal of the Tribunal’s decision, and posted the required appellate bond, with the New York State Appellate Division.  We are waiting for the appellate court to set a briefing and oral argument schedule. The second jurisdiction has made an assessment of $0.7 million from June 2015 through March 2018 plus interest of $0.2 million through April 2020. We are in the administrative appeal process in this jurisdiction as well and the timing has been impacted by the COVID-19 pandemic.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As of December 31, 2022 and 2021, we have estimated our sales and use tax liability to be approximately $4.0 million and $3.7 million, respectively. We believe our sales and use tax accruals have properly recognized that if our arrangements with customers are deemed more likely than not that we would not be exempt from sales tax in a particular state are the basis for measurement of the state sales and use tax is calculated in accordance with ASC 405, </w:t>
      </w:r>
      <w:r>
        <w:rPr>
          <w:rFonts w:ascii="Times New Roman" w:hAnsi="Times New Roman"/>
          <w:i/>
          <w:color w:val="000000"/>
          <w:sz w:val="20"/>
        </w:rPr>
        <w:t>Liabilities</w:t>
      </w:r>
      <w:r>
        <w:rPr>
          <w:rFonts w:ascii="Times New Roman" w:hAnsi="Times New Roman"/>
          <w:color w:val="000000"/>
          <w:sz w:val="20"/>
        </w:rPr>
        <w:t>,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settlements remain uncertain.</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failure to respond to rapid changes in technology and other applications in the medical devices industry or the development of a cure for skin conditions treated by our products could make our treatment system obsolete.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must comply with complex statutes prohibiting fraud and abuse, and both we and physicians utilizing our products could be subject to significant penalties for noncompliance.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There are extensive federal and state laws and regulations prohibiting fraud and abuse in the healthcare industry that can result in significant criminal and civil penalties. These federal laws include:</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anti-kickback statute which prohibits certain business practices and relationships, including the payment or receipt of remuneration for the referral of patients whose care will be paid by Medicare or other federal healthcare programs, as modified by the ACA;</w:t>
            </w:r>
          </w:p>
        </w:tc>
      </w:tr>
    </w:tbl>
    <w:p>
      <w:pPr>
        <w:pStyle w:val="TextBody"/>
        <w:spacing w:before="0" w:after="0"/>
        <w:rPr/>
      </w:pPr>
      <w:r>
        <w:rPr/>
      </w:r>
    </w:p>
    <w:tbl>
      <w:tblPr>
        <w:tblW w:w="7533" w:type="dxa"/>
        <w:jc w:val="left"/>
        <w:tblInd w:w="0" w:type="dxa"/>
        <w:tblCellMar>
          <w:top w:w="0" w:type="dxa"/>
          <w:left w:w="0" w:type="dxa"/>
          <w:bottom w:w="0" w:type="dxa"/>
          <w:right w:w="0" w:type="dxa"/>
        </w:tblCellMar>
      </w:tblPr>
      <w:tblGrid>
        <w:gridCol w:w="38"/>
        <w:gridCol w:w="110"/>
        <w:gridCol w:w="73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385" w:type="dxa"/>
            <w:tcBorders/>
            <w:shd w:fill="auto" w:val="clear"/>
            <w:vAlign w:val="center"/>
          </w:tcPr>
          <w:p>
            <w:pPr>
              <w:pStyle w:val="TableContents"/>
              <w:spacing w:before="0" w:after="0"/>
              <w:rPr>
                <w:color w:val="000000"/>
              </w:rPr>
            </w:pPr>
            <w:r>
              <w:rPr>
                <w:color w:val="000000"/>
              </w:rPr>
              <w:t>the physician self-referral prohibition, commonly referred to as the Stark Law;</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be subject, directly or indirectly, to federal and state healthcare fraud and abuse laws and regulations and could face substantial penalties if we are unable to fully comply with such laws.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its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the effectiveness and safety of our devices are not supported by long-term data, and the level of acceptance of our products by dermatologists does not increase or is not maintained, our revenues could decline.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failure to obtain or maintain necessary FDA clearances and approvals, or to maintain continued clearances, or equivalents thereof in the U.S. and relevant foreign markets, could hurt our ability to distribute and market our products.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its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PMA from the FDA unless an exemption applies. Either process can be lengthy and expensive. The FDA’s 510(k) clearance process may take from three to 12 months, or longer, and may or may not require human clinical data. The PMA process is much more costly and lengthy. It may take from 11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the Centers for Medicare &amp; Medicaid Services, or CMS, payments and other transfers of value to all U.S. physicians and U.S. teaching hospitals, with the reported information made publicly available on a searchable website. Effective January 2022 we are also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Further, more stringent regulatory requirements or safety and quality standards may be issued in the future with an adverse effect on our business. We have ceased manufacturing and marketing MelaFind but must still maintain records for FDA and foreign regulatory purposes.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medical device operations are subject to FDA regulatory requirements.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including standards for device recalls and product labeling.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Healthcare policy changes may have a material adverse effect on us.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These changes and additional proposed changes in the future could adversely affect the demand for our products as well as the way in which we conduct our business. For example, the ACA was enacted into law in the U.S. in March 2010. They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 In addition, if the excise taxes contained in the House or Senate health reform bills are enacted into law, our loss from continuing operations resulting from such an excise tax and results of operations would be materially and adversely affected.</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market acceptance in international markets requires regulatory approvals from foreign governments and may depend on third party reimbursement of participants’ cost.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 Our TheraClear device has historically been sold in several foreign countries and is subject to similar international regulatory approval requirements.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more successfully than us.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Consolidation in the medical device industry could have an adverse effect on our revenue and results of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actively employ social media as part of our marketing strategy, which could give rise to regulatory violations, liability, breaches of data security or reputational damage.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Federal Trade Commission.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Social media companies on which we rely for advertising may change their policies limiting our ability to reach our target markets.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rely on social media companies, such as Facebook and Twitter, to reach our target markets. Facebook has announced that beginning in January 2022 it will limit the ability of advertisers to target certain markets. Any restrictions by Facebook or any other social media platform on which we depend to reach our target market could have a significant impact on our ability to develop customer awareness and generate new users for our physician partners.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its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we fail to comply with ongoing regulatory requirements, or if we experience unanticipated problems with products, these products could be subject to restrictions or withdrawal from the market.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pStyle w:val="TextBody"/>
        <w:spacing w:before="0" w:after="0"/>
        <w:jc w:val="left"/>
        <w:rPr/>
      </w:pPr>
      <w:r>
        <w:rPr/>
      </w:r>
    </w:p>
    <w:tbl>
      <w:tblPr>
        <w:tblW w:w="5118" w:type="dxa"/>
        <w:jc w:val="left"/>
        <w:tblInd w:w="0" w:type="dxa"/>
        <w:tblCellMar>
          <w:top w:w="0" w:type="dxa"/>
          <w:left w:w="0" w:type="dxa"/>
          <w:bottom w:w="0" w:type="dxa"/>
          <w:right w:w="0" w:type="dxa"/>
        </w:tblCellMar>
      </w:tblPr>
      <w:tblGrid>
        <w:gridCol w:w="38"/>
        <w:gridCol w:w="110"/>
        <w:gridCol w:w="49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4970" w:type="dxa"/>
            <w:tcBorders/>
            <w:shd w:fill="auto" w:val="clear"/>
            <w:vAlign w:val="center"/>
          </w:tcPr>
          <w:p>
            <w:pPr>
              <w:pStyle w:val="TableContents"/>
              <w:spacing w:before="0" w:after="0"/>
              <w:rPr>
                <w:color w:val="000000"/>
              </w:rPr>
            </w:pPr>
            <w:r>
              <w:rPr>
                <w:color w:val="000000"/>
              </w:rPr>
              <w:t>warning letters or untitled letters issued by the FDA;</w:t>
            </w:r>
          </w:p>
        </w:tc>
      </w:tr>
    </w:tbl>
    <w:p>
      <w:pPr>
        <w:pStyle w:val="TextBody"/>
        <w:spacing w:before="0" w:after="0"/>
        <w:rPr/>
      </w:pPr>
      <w:r>
        <w:rPr/>
      </w:r>
    </w:p>
    <w:tbl>
      <w:tblPr>
        <w:tblW w:w="5643" w:type="dxa"/>
        <w:jc w:val="left"/>
        <w:tblInd w:w="0" w:type="dxa"/>
        <w:tblCellMar>
          <w:top w:w="0" w:type="dxa"/>
          <w:left w:w="0" w:type="dxa"/>
          <w:bottom w:w="0" w:type="dxa"/>
          <w:right w:w="0" w:type="dxa"/>
        </w:tblCellMar>
      </w:tblPr>
      <w:tblGrid>
        <w:gridCol w:w="38"/>
        <w:gridCol w:w="110"/>
        <w:gridCol w:w="54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495" w:type="dxa"/>
            <w:tcBorders/>
            <w:shd w:fill="auto" w:val="clear"/>
            <w:vAlign w:val="center"/>
          </w:tcPr>
          <w:p>
            <w:pPr>
              <w:pStyle w:val="TableContents"/>
              <w:spacing w:before="0" w:after="0"/>
              <w:rPr>
                <w:color w:val="000000"/>
              </w:rPr>
            </w:pPr>
            <w:r>
              <w:rPr>
                <w:color w:val="000000"/>
              </w:rPr>
              <w:t>fines, civil penalties, injunctions and criminal prosecution;</w:t>
            </w:r>
          </w:p>
        </w:tc>
      </w:tr>
    </w:tbl>
    <w:p>
      <w:pPr>
        <w:pStyle w:val="TextBody"/>
        <w:spacing w:before="0" w:after="0"/>
        <w:rPr/>
      </w:pPr>
      <w:r>
        <w:rPr/>
      </w:r>
    </w:p>
    <w:tbl>
      <w:tblPr>
        <w:tblW w:w="5943" w:type="dxa"/>
        <w:jc w:val="left"/>
        <w:tblInd w:w="0" w:type="dxa"/>
        <w:tblCellMar>
          <w:top w:w="0" w:type="dxa"/>
          <w:left w:w="0" w:type="dxa"/>
          <w:bottom w:w="0" w:type="dxa"/>
          <w:right w:w="0" w:type="dxa"/>
        </w:tblCellMar>
      </w:tblPr>
      <w:tblGrid>
        <w:gridCol w:w="38"/>
        <w:gridCol w:w="110"/>
        <w:gridCol w:w="57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795" w:type="dxa"/>
            <w:tcBorders/>
            <w:shd w:fill="auto" w:val="clear"/>
            <w:vAlign w:val="center"/>
          </w:tcPr>
          <w:p>
            <w:pPr>
              <w:pStyle w:val="TableContents"/>
              <w:spacing w:before="0" w:after="0"/>
              <w:rPr>
                <w:color w:val="000000"/>
              </w:rPr>
            </w:pPr>
            <w:r>
              <w:rPr>
                <w:color w:val="000000"/>
              </w:rPr>
              <w:t>unanticipated expenditures to address or defend such actions;</w:t>
            </w:r>
          </w:p>
        </w:tc>
      </w:tr>
    </w:tbl>
    <w:p>
      <w:pPr>
        <w:pStyle w:val="TextBody"/>
        <w:spacing w:before="0" w:after="0"/>
        <w:rPr/>
      </w:pPr>
      <w:r>
        <w:rPr/>
      </w:r>
    </w:p>
    <w:tbl>
      <w:tblPr>
        <w:tblW w:w="7308" w:type="dxa"/>
        <w:jc w:val="left"/>
        <w:tblInd w:w="0" w:type="dxa"/>
        <w:tblCellMar>
          <w:top w:w="0" w:type="dxa"/>
          <w:left w:w="0" w:type="dxa"/>
          <w:bottom w:w="0" w:type="dxa"/>
          <w:right w:w="0" w:type="dxa"/>
        </w:tblCellMar>
      </w:tblPr>
      <w:tblGrid>
        <w:gridCol w:w="38"/>
        <w:gridCol w:w="110"/>
        <w:gridCol w:w="71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160" w:type="dxa"/>
            <w:tcBorders/>
            <w:shd w:fill="auto" w:val="clear"/>
            <w:vAlign w:val="center"/>
          </w:tcPr>
          <w:p>
            <w:pPr>
              <w:pStyle w:val="TableContents"/>
              <w:spacing w:before="0" w:after="0"/>
              <w:rPr>
                <w:color w:val="000000"/>
              </w:rPr>
            </w:pPr>
            <w:r>
              <w:rPr>
                <w:color w:val="000000"/>
              </w:rPr>
              <w:t>delays in clearing or approving, or refusal to clear or approve, our products;</w:t>
            </w:r>
          </w:p>
        </w:tc>
      </w:tr>
    </w:tbl>
    <w:p>
      <w:pPr>
        <w:pStyle w:val="TextBody"/>
        <w:spacing w:before="0" w:after="0"/>
        <w:rPr/>
      </w:pPr>
      <w:r>
        <w:rPr/>
      </w:r>
    </w:p>
    <w:tbl>
      <w:tblPr>
        <w:tblW w:w="10188" w:type="dxa"/>
        <w:jc w:val="left"/>
        <w:tblInd w:w="0" w:type="dxa"/>
        <w:tblCellMar>
          <w:top w:w="0" w:type="dxa"/>
          <w:left w:w="0" w:type="dxa"/>
          <w:bottom w:w="0" w:type="dxa"/>
          <w:right w:w="0" w:type="dxa"/>
        </w:tblCellMar>
      </w:tblPr>
      <w:tblGrid>
        <w:gridCol w:w="38"/>
        <w:gridCol w:w="110"/>
        <w:gridCol w:w="100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40" w:type="dxa"/>
            <w:tcBorders/>
            <w:shd w:fill="auto" w:val="clear"/>
            <w:vAlign w:val="center"/>
          </w:tcPr>
          <w:p>
            <w:pPr>
              <w:pStyle w:val="TableContents"/>
              <w:spacing w:before="0" w:after="0"/>
              <w:rPr>
                <w:color w:val="000000"/>
              </w:rPr>
            </w:pPr>
            <w:r>
              <w:rPr>
                <w:color w:val="000000"/>
              </w:rPr>
              <w:t>withdrawal or suspension of clearance or approval of our products by the FDA or other regulatory bodies;</w:t>
            </w:r>
          </w:p>
        </w:tc>
      </w:tr>
    </w:tbl>
    <w:p>
      <w:pPr>
        <w:pStyle w:val="TextBody"/>
        <w:spacing w:before="0" w:after="0"/>
        <w:rPr/>
      </w:pPr>
      <w:r>
        <w:rPr/>
      </w:r>
    </w:p>
    <w:tbl>
      <w:tblPr>
        <w:tblW w:w="2508" w:type="dxa"/>
        <w:jc w:val="left"/>
        <w:tblInd w:w="0" w:type="dxa"/>
        <w:tblCellMar>
          <w:top w:w="0" w:type="dxa"/>
          <w:left w:w="0" w:type="dxa"/>
          <w:bottom w:w="0" w:type="dxa"/>
          <w:right w:w="0" w:type="dxa"/>
        </w:tblCellMar>
      </w:tblPr>
      <w:tblGrid>
        <w:gridCol w:w="38"/>
        <w:gridCol w:w="110"/>
        <w:gridCol w:w="23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2360" w:type="dxa"/>
            <w:tcBorders/>
            <w:shd w:fill="auto" w:val="clear"/>
            <w:vAlign w:val="center"/>
          </w:tcPr>
          <w:p>
            <w:pPr>
              <w:pStyle w:val="TableContents"/>
              <w:spacing w:before="0" w:after="0"/>
              <w:rPr>
                <w:color w:val="000000"/>
              </w:rPr>
            </w:pPr>
            <w:r>
              <w:rPr>
                <w:color w:val="000000"/>
              </w:rPr>
              <w:t>product recall or seizure;</w:t>
            </w:r>
          </w:p>
        </w:tc>
      </w:tr>
    </w:tbl>
    <w:p>
      <w:pPr>
        <w:pStyle w:val="TextBody"/>
        <w:spacing w:before="0" w:after="0"/>
        <w:rPr/>
      </w:pPr>
      <w:r>
        <w:rPr/>
      </w:r>
    </w:p>
    <w:tbl>
      <w:tblPr>
        <w:tblW w:w="8133" w:type="dxa"/>
        <w:jc w:val="left"/>
        <w:tblInd w:w="0" w:type="dxa"/>
        <w:tblCellMar>
          <w:top w:w="0" w:type="dxa"/>
          <w:left w:w="0" w:type="dxa"/>
          <w:bottom w:w="0" w:type="dxa"/>
          <w:right w:w="0" w:type="dxa"/>
        </w:tblCellMar>
      </w:tblPr>
      <w:tblGrid>
        <w:gridCol w:w="38"/>
        <w:gridCol w:w="110"/>
        <w:gridCol w:w="7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985" w:type="dxa"/>
            <w:tcBorders/>
            <w:shd w:fill="auto" w:val="clear"/>
            <w:vAlign w:val="center"/>
          </w:tcPr>
          <w:p>
            <w:pPr>
              <w:pStyle w:val="TableContents"/>
              <w:spacing w:before="0" w:after="0"/>
              <w:rPr>
                <w:color w:val="000000"/>
              </w:rPr>
            </w:pPr>
            <w:r>
              <w:rPr>
                <w:color w:val="000000"/>
              </w:rPr>
              <w:t>orders for physician or customer notification or device repair, replacement or refund;</w:t>
            </w:r>
          </w:p>
        </w:tc>
      </w:tr>
    </w:tbl>
    <w:p>
      <w:pPr>
        <w:pStyle w:val="TextBody"/>
        <w:spacing w:before="0" w:after="0"/>
        <w:rPr/>
      </w:pPr>
      <w:r>
        <w:rPr/>
      </w:r>
    </w:p>
    <w:tbl>
      <w:tblPr>
        <w:tblW w:w="3078" w:type="dxa"/>
        <w:jc w:val="left"/>
        <w:tblInd w:w="0" w:type="dxa"/>
        <w:tblCellMar>
          <w:top w:w="0" w:type="dxa"/>
          <w:left w:w="0" w:type="dxa"/>
          <w:bottom w:w="0" w:type="dxa"/>
          <w:right w:w="0" w:type="dxa"/>
        </w:tblCellMar>
      </w:tblPr>
      <w:tblGrid>
        <w:gridCol w:w="38"/>
        <w:gridCol w:w="110"/>
        <w:gridCol w:w="29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2930" w:type="dxa"/>
            <w:tcBorders/>
            <w:shd w:fill="auto" w:val="clear"/>
            <w:vAlign w:val="center"/>
          </w:tcPr>
          <w:p>
            <w:pPr>
              <w:pStyle w:val="TableContents"/>
              <w:spacing w:before="0" w:after="0"/>
              <w:rPr>
                <w:color w:val="000000"/>
              </w:rPr>
            </w:pPr>
            <w:r>
              <w:rPr>
                <w:color w:val="000000"/>
              </w:rPr>
              <w:t>interruption of production; and</w:t>
            </w:r>
          </w:p>
        </w:tc>
      </w:tr>
    </w:tbl>
    <w:p>
      <w:pPr>
        <w:pStyle w:val="TextBody"/>
        <w:spacing w:before="0" w:after="0"/>
        <w:rPr/>
      </w:pPr>
      <w:r>
        <w:rPr/>
      </w:r>
    </w:p>
    <w:tbl>
      <w:tblPr>
        <w:tblW w:w="2208" w:type="dxa"/>
        <w:jc w:val="left"/>
        <w:tblInd w:w="0" w:type="dxa"/>
        <w:tblCellMar>
          <w:top w:w="0" w:type="dxa"/>
          <w:left w:w="0" w:type="dxa"/>
          <w:bottom w:w="0" w:type="dxa"/>
          <w:right w:w="0" w:type="dxa"/>
        </w:tblCellMar>
      </w:tblPr>
      <w:tblGrid>
        <w:gridCol w:w="38"/>
        <w:gridCol w:w="110"/>
        <w:gridCol w:w="20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2060" w:type="dxa"/>
            <w:tcBorders/>
            <w:shd w:fill="auto" w:val="clear"/>
            <w:vAlign w:val="center"/>
          </w:tcPr>
          <w:p>
            <w:pPr>
              <w:pStyle w:val="TableContents"/>
              <w:spacing w:before="0" w:after="0"/>
              <w:rPr>
                <w:color w:val="000000"/>
              </w:rPr>
            </w:pPr>
            <w:r>
              <w:rPr>
                <w:color w:val="000000"/>
              </w:rPr>
              <w:t>operating restrictions.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If any of these actions were to occur, it would harm our reputation and adversely affect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medical products may in the future be subject to product recalls that could harm our reputation, business and financial results.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If any of our medical products cause or contribute to a death or a serious injury, or malfunction in certain ways, we will be subject to medical device reporting regulations, which can result in voluntary corrective actions or agency enforcement actions.</w:t>
      </w:r>
    </w:p>
    <w:p>
      <w:pPr>
        <w:pStyle w:val="TextBody"/>
        <w:spacing w:before="0" w:after="0"/>
        <w:jc w:val="left"/>
        <w:rPr/>
      </w:pPr>
      <w:r>
        <w:rPr/>
      </w:r>
    </w:p>
    <w:p>
      <w:pPr>
        <w:pStyle w:val="TextBody"/>
        <w:spacing w:before="0" w:after="0"/>
        <w:ind w:left="0" w:right="0" w:firstLine="718"/>
        <w:jc w:val="left"/>
        <w:rPr>
          <w:rFonts w:ascii="Times New Roman" w:hAnsi="Times New Roman"/>
          <w:color w:val="000000"/>
          <w:sz w:val="20"/>
        </w:rPr>
      </w:pPr>
      <w:r>
        <w:rPr>
          <w:rFonts w:ascii="Times New Roman" w:hAnsi="Times New Roman"/>
          <w:color w:val="000000"/>
          <w:sz w:val="20"/>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have a need for additional funds in the future and there is no guarantee that we will be able to generate those funds from our business.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existing cash position and ability to borrow funds and future revenue may not be sufficient to support the expenses of our operations in the near term, although based upon our cash and cash equivalents, current budgeting and projected cash flow models, we believe that we will be able to support our operations for at least the next 12 months following the filing of this Report. We plan to fund operations by the recurring revenue generated by the use of the XTRAC lasers and the TheraClear Acne Therapy System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Further, we cannot assure that an acquisition will in any way negate or mitigate our need for future capital. Any additional financing may dilute the ownership interest of our existing stockholders and could adversely affect the market price of our common stock.</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If we do not have enough capital to fund operations, then we will have to cut costs or raise funds.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If we are unable to raise additional funds, if necessary, under terms acceptable to us and in the interests of our stockholders, then we will have to take measures to cut operating costs or obtain funds using alternative methods, such as: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Sell or license some of our technologies that we would not otherwise sell or license if we were in a stronger financial position;</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Sell or license some of our technologies under terms that are less favorable than they otherwise might have been if we were in a stronger financial position;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Consider further business combination transactions with other companies or positioning ourselves to be acquired by another company.</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If it became necessary to take one or more of the above-listed actions, then our perceived valuation may be lower, which could impact the market price of our stock. Further, the effects on our operations, financial performance and stock price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We may be subject to disruptions or failures in our information technology systems and network infrastructures, including through cyber-attacks or other third-party breaches that could have a material adverse effect on our business.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pStyle w:val="TextBody"/>
        <w:spacing w:before="0" w:after="0"/>
        <w:jc w:val="left"/>
        <w:rPr/>
      </w:pPr>
      <w:r>
        <w:rPr/>
      </w:r>
    </w:p>
    <w:p>
      <w:pPr>
        <w:pStyle w:val="TextBody"/>
        <w:spacing w:before="0" w:after="0"/>
        <w:ind w:left="0" w:right="0" w:firstLine="718"/>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its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Environmental and health safety laws may result in liabilities, expenses and restrictions on our operations.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Risks Relating to Our Common Stock</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shares of common stock could be delisted from the Nasdaq Capital Market which could result in, among other things, a decline in the price of our common stock and less liquidity for holders of shares of our common stock.</w:t>
      </w:r>
    </w:p>
    <w:p>
      <w:pPr>
        <w:pStyle w:val="TextBody"/>
        <w:spacing w:before="0" w:after="0"/>
        <w:jc w:val="left"/>
        <w:rPr>
          <w:color w:val="000000"/>
        </w:rPr>
      </w:pPr>
      <w:r>
        <w:rPr>
          <w:color w:val="000000"/>
        </w:rPr>
        <w:t xml:space="preserve">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common stock is listed on the Nasdaq Capital Market (“Nasdaq CM”), which imposes, among other requirements, a minimum $1.00 per share bid price requirement for continued inclusion on the Nasdaq CM pursuant to Nasdaq Listing Rule 5550(a)(2) (the “Bid Price Requirement”). The closing bid price for our common stock must remain at or above $1.00 per share to comply with the Bid Price Requirement for continued listing. On October 26, 2022, we received a deficiency letter (the “Notice”) from the Listing Qualifications Department of the Nasdaq Stock Market, LLC (“Nasdaq”) notifying us that, for the preceding 30 consecutive trading days, the closing bid price of our common stock was below the Bid Price Requirement. On February 27, 2023, we announced that we had regained compliance with the Bid Price Requirement. Given market volatility and business conditions, we cannot assure you that we will continue to maintain compliance under the current economic climate.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Your percentage ownership will be further diluted in the future.</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Your percentage ownership in our common stock will be diluted in the future because of equity awards that we expect will be granted to our directors, officers and employees.  Our Equity Incentive Plan provides for the grant of equity-based awards, including restricted stock, restricted stock units, stock options, stock appreciation rights and other equity-based awards to our directors, officers and other employees, advisors and consultants.  In September 2021, we issued a warrant to MidCap Financial Trust to purchase 373,626 shares of our common stock, with an exercise price of $1.82 per share.  We also maintain a shelf-registration statement that provides us with the ability, from time to time, to offer and sell up to $25.0 million in securities, including selling up to $11.0 million of our common stock in registered “at-the-market” offerings pursuant to an equity distribution agreement entered into with Ladenburg Thalmann &amp; Co. Inc. in October 2021. As a result of shares sold or issued under the circumstances described above, your percentage ownership in our common stock will be diluted in the future.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In the event of certain contingencies, the investors in the May 2018 Equity Financing may receive additional shares issued pursuant to the Retained Risk Provisions as defined in the purchase agreements.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the event of certain contingencies, the investors in the May 2018 equity financing may receive additional shares issued pursuant to the Retained Risk Provisions as defined in the Stock Purchase Agreements. At the closing, the Company determined certain contingencies had been met and, in July 2018, the Company issued 153,004 shares associated with those contingencies. There were additional contingencies included in the SPAs that expired in May 2020 and did not result in the issuance of shares.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stock price may be volatile, meaning purchasers of our common stock could incur substantial losses.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stock price has been and is likely to continue to be volatile.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pStyle w:val="TextBody"/>
        <w:spacing w:before="0" w:after="0"/>
        <w:jc w:val="left"/>
        <w:rPr/>
      </w:pPr>
      <w:r>
        <w:rPr/>
      </w:r>
    </w:p>
    <w:tbl>
      <w:tblPr>
        <w:tblW w:w="7818" w:type="dxa"/>
        <w:jc w:val="left"/>
        <w:tblInd w:w="0" w:type="dxa"/>
        <w:tblCellMar>
          <w:top w:w="0" w:type="dxa"/>
          <w:left w:w="0" w:type="dxa"/>
          <w:bottom w:w="0" w:type="dxa"/>
          <w:right w:w="0" w:type="dxa"/>
        </w:tblCellMar>
      </w:tblPr>
      <w:tblGrid>
        <w:gridCol w:w="38"/>
        <w:gridCol w:w="110"/>
        <w:gridCol w:w="76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670" w:type="dxa"/>
            <w:tcBorders/>
            <w:shd w:fill="auto" w:val="clear"/>
            <w:vAlign w:val="center"/>
          </w:tcPr>
          <w:p>
            <w:pPr>
              <w:pStyle w:val="TableContents"/>
              <w:spacing w:before="0" w:after="0"/>
              <w:rPr>
                <w:color w:val="000000"/>
              </w:rPr>
            </w:pPr>
            <w:r>
              <w:rPr>
                <w:color w:val="000000"/>
              </w:rPr>
              <w:t>failure of any of our products to achieve or continue to have commercial success;</w:t>
            </w:r>
          </w:p>
        </w:tc>
      </w:tr>
    </w:tbl>
    <w:p>
      <w:pPr>
        <w:pStyle w:val="TextBody"/>
        <w:spacing w:before="0" w:after="0"/>
        <w:rPr/>
      </w:pPr>
      <w:r>
        <w:rPr/>
      </w:r>
    </w:p>
    <w:tbl>
      <w:tblPr>
        <w:tblW w:w="5538" w:type="dxa"/>
        <w:jc w:val="left"/>
        <w:tblInd w:w="0" w:type="dxa"/>
        <w:tblCellMar>
          <w:top w:w="0" w:type="dxa"/>
          <w:left w:w="0" w:type="dxa"/>
          <w:bottom w:w="0" w:type="dxa"/>
          <w:right w:w="0" w:type="dxa"/>
        </w:tblCellMar>
      </w:tblPr>
      <w:tblGrid>
        <w:gridCol w:w="38"/>
        <w:gridCol w:w="110"/>
        <w:gridCol w:w="53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390" w:type="dxa"/>
            <w:tcBorders/>
            <w:shd w:fill="auto" w:val="clear"/>
            <w:vAlign w:val="center"/>
          </w:tcPr>
          <w:p>
            <w:pPr>
              <w:pStyle w:val="TableContents"/>
              <w:spacing w:before="0" w:after="0"/>
              <w:rPr>
                <w:color w:val="000000"/>
              </w:rPr>
            </w:pPr>
            <w:r>
              <w:rPr>
                <w:color w:val="000000"/>
              </w:rPr>
              <w:t>the timing of regulatory approval for our future products;</w:t>
            </w:r>
          </w:p>
        </w:tc>
      </w:tr>
    </w:tbl>
    <w:p>
      <w:pPr>
        <w:pStyle w:val="TextBody"/>
        <w:spacing w:before="0" w:after="0"/>
        <w:rPr/>
      </w:pPr>
      <w:r>
        <w:rPr/>
      </w:r>
    </w:p>
    <w:tbl>
      <w:tblPr>
        <w:tblW w:w="6903" w:type="dxa"/>
        <w:jc w:val="left"/>
        <w:tblInd w:w="0" w:type="dxa"/>
        <w:tblCellMar>
          <w:top w:w="0" w:type="dxa"/>
          <w:left w:w="0" w:type="dxa"/>
          <w:bottom w:w="0" w:type="dxa"/>
          <w:right w:w="0" w:type="dxa"/>
        </w:tblCellMar>
      </w:tblPr>
      <w:tblGrid>
        <w:gridCol w:w="38"/>
        <w:gridCol w:w="110"/>
        <w:gridCol w:w="67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755" w:type="dxa"/>
            <w:tcBorders/>
            <w:shd w:fill="auto" w:val="clear"/>
            <w:vAlign w:val="center"/>
          </w:tcPr>
          <w:p>
            <w:pPr>
              <w:pStyle w:val="TableContents"/>
              <w:spacing w:before="0" w:after="0"/>
              <w:rPr>
                <w:color w:val="000000"/>
              </w:rPr>
            </w:pPr>
            <w:r>
              <w:rPr>
                <w:color w:val="000000"/>
              </w:rPr>
              <w:t>adverse regulatory determinations with respect to our existing products;</w:t>
            </w:r>
          </w:p>
        </w:tc>
      </w:tr>
    </w:tbl>
    <w:p>
      <w:pPr>
        <w:pStyle w:val="TextBody"/>
        <w:spacing w:before="0" w:after="0"/>
        <w:rPr/>
      </w:pPr>
      <w:r>
        <w:rPr/>
      </w:r>
    </w:p>
    <w:tbl>
      <w:tblPr>
        <w:tblW w:w="6678" w:type="dxa"/>
        <w:jc w:val="left"/>
        <w:tblInd w:w="0" w:type="dxa"/>
        <w:tblCellMar>
          <w:top w:w="0" w:type="dxa"/>
          <w:left w:w="0" w:type="dxa"/>
          <w:bottom w:w="0" w:type="dxa"/>
          <w:right w:w="0" w:type="dxa"/>
        </w:tblCellMar>
      </w:tblPr>
      <w:tblGrid>
        <w:gridCol w:w="38"/>
        <w:gridCol w:w="110"/>
        <w:gridCol w:w="65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530" w:type="dxa"/>
            <w:tcBorders/>
            <w:shd w:fill="auto" w:val="clear"/>
            <w:vAlign w:val="center"/>
          </w:tcPr>
          <w:p>
            <w:pPr>
              <w:pStyle w:val="TableContents"/>
              <w:spacing w:before="0" w:after="0"/>
              <w:rPr>
                <w:color w:val="000000"/>
              </w:rPr>
            </w:pPr>
            <w:r>
              <w:rPr>
                <w:color w:val="000000"/>
              </w:rPr>
              <w:t>results of our research and development efforts and our clinical trials;</w:t>
            </w:r>
          </w:p>
        </w:tc>
      </w:tr>
    </w:tbl>
    <w:p>
      <w:pPr>
        <w:pStyle w:val="TextBody"/>
        <w:spacing w:before="0" w:after="0"/>
        <w:rPr/>
      </w:pPr>
      <w:r>
        <w:rPr/>
      </w:r>
    </w:p>
    <w:tbl>
      <w:tblPr>
        <w:tblW w:w="8343" w:type="dxa"/>
        <w:jc w:val="left"/>
        <w:tblInd w:w="0" w:type="dxa"/>
        <w:tblCellMar>
          <w:top w:w="0" w:type="dxa"/>
          <w:left w:w="0" w:type="dxa"/>
          <w:bottom w:w="0" w:type="dxa"/>
          <w:right w:w="0" w:type="dxa"/>
        </w:tblCellMar>
      </w:tblPr>
      <w:tblGrid>
        <w:gridCol w:w="38"/>
        <w:gridCol w:w="110"/>
        <w:gridCol w:w="81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8195" w:type="dxa"/>
            <w:tcBorders/>
            <w:shd w:fill="auto" w:val="clear"/>
            <w:vAlign w:val="center"/>
          </w:tcPr>
          <w:p>
            <w:pPr>
              <w:pStyle w:val="TableContents"/>
              <w:spacing w:before="0" w:after="0"/>
              <w:rPr>
                <w:color w:val="000000"/>
              </w:rPr>
            </w:pPr>
            <w:r>
              <w:rPr>
                <w:color w:val="000000"/>
              </w:rPr>
              <w:t>the announcement of new products or product enhancements by us or our competitors;</w:t>
            </w:r>
          </w:p>
        </w:tc>
      </w:tr>
    </w:tbl>
    <w:p>
      <w:pPr>
        <w:pStyle w:val="TextBody"/>
        <w:spacing w:before="0" w:after="0"/>
        <w:rPr/>
      </w:pPr>
      <w:r>
        <w:rPr/>
      </w:r>
    </w:p>
    <w:tbl>
      <w:tblPr>
        <w:tblW w:w="5703" w:type="dxa"/>
        <w:jc w:val="left"/>
        <w:tblInd w:w="0" w:type="dxa"/>
        <w:tblCellMar>
          <w:top w:w="0" w:type="dxa"/>
          <w:left w:w="0" w:type="dxa"/>
          <w:bottom w:w="0" w:type="dxa"/>
          <w:right w:w="0" w:type="dxa"/>
        </w:tblCellMar>
      </w:tblPr>
      <w:tblGrid>
        <w:gridCol w:w="38"/>
        <w:gridCol w:w="110"/>
        <w:gridCol w:w="55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555" w:type="dxa"/>
            <w:tcBorders/>
            <w:shd w:fill="auto" w:val="clear"/>
            <w:vAlign w:val="center"/>
          </w:tcPr>
          <w:p>
            <w:pPr>
              <w:pStyle w:val="TableContents"/>
              <w:spacing w:before="0" w:after="0"/>
              <w:rPr>
                <w:color w:val="000000"/>
              </w:rPr>
            </w:pPr>
            <w:r>
              <w:rPr>
                <w:color w:val="000000"/>
              </w:rPr>
              <w:t>regulatory developments in the U.S. and foreign countries;</w:t>
            </w:r>
          </w:p>
        </w:tc>
      </w:tr>
    </w:tbl>
    <w:p>
      <w:pPr>
        <w:pStyle w:val="TextBody"/>
        <w:spacing w:before="0" w:after="0"/>
        <w:rPr/>
      </w:pPr>
      <w:r>
        <w:rPr/>
      </w:r>
    </w:p>
    <w:tbl>
      <w:tblPr>
        <w:tblW w:w="6258" w:type="dxa"/>
        <w:jc w:val="left"/>
        <w:tblInd w:w="0" w:type="dxa"/>
        <w:tblCellMar>
          <w:top w:w="0" w:type="dxa"/>
          <w:left w:w="0" w:type="dxa"/>
          <w:bottom w:w="0" w:type="dxa"/>
          <w:right w:w="0" w:type="dxa"/>
        </w:tblCellMar>
      </w:tblPr>
      <w:tblGrid>
        <w:gridCol w:w="38"/>
        <w:gridCol w:w="110"/>
        <w:gridCol w:w="61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110" w:type="dxa"/>
            <w:tcBorders/>
            <w:shd w:fill="auto" w:val="clear"/>
            <w:vAlign w:val="center"/>
          </w:tcPr>
          <w:p>
            <w:pPr>
              <w:pStyle w:val="TableContents"/>
              <w:spacing w:before="0" w:after="0"/>
              <w:rPr>
                <w:color w:val="000000"/>
              </w:rPr>
            </w:pPr>
            <w:r>
              <w:rPr>
                <w:color w:val="000000"/>
              </w:rPr>
              <w:t>our ability to manufacture our products to commercial standards;</w:t>
            </w:r>
          </w:p>
        </w:tc>
      </w:tr>
    </w:tbl>
    <w:p>
      <w:pPr>
        <w:pStyle w:val="TextBody"/>
        <w:spacing w:before="0" w:after="0"/>
        <w:rPr/>
      </w:pPr>
      <w:r>
        <w:rPr/>
      </w:r>
    </w:p>
    <w:tbl>
      <w:tblPr>
        <w:tblW w:w="8073" w:type="dxa"/>
        <w:jc w:val="left"/>
        <w:tblInd w:w="0" w:type="dxa"/>
        <w:tblCellMar>
          <w:top w:w="0" w:type="dxa"/>
          <w:left w:w="0" w:type="dxa"/>
          <w:bottom w:w="0" w:type="dxa"/>
          <w:right w:w="0" w:type="dxa"/>
        </w:tblCellMar>
      </w:tblPr>
      <w:tblGrid>
        <w:gridCol w:w="38"/>
        <w:gridCol w:w="110"/>
        <w:gridCol w:w="79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925" w:type="dxa"/>
            <w:tcBorders/>
            <w:shd w:fill="auto" w:val="clear"/>
            <w:vAlign w:val="center"/>
          </w:tcPr>
          <w:p>
            <w:pPr>
              <w:pStyle w:val="TableContents"/>
              <w:spacing w:before="0" w:after="0"/>
              <w:rPr>
                <w:color w:val="000000"/>
              </w:rPr>
            </w:pPr>
            <w:r>
              <w:rPr>
                <w:color w:val="000000"/>
              </w:rPr>
              <w:t>developments concerning our clinical collaborators, suppliers or marketing partners;</w:t>
            </w:r>
          </w:p>
        </w:tc>
      </w:tr>
    </w:tbl>
    <w:p>
      <w:pPr>
        <w:pStyle w:val="TextBody"/>
        <w:spacing w:before="0" w:after="0"/>
        <w:rPr/>
      </w:pPr>
      <w:r>
        <w:rPr/>
      </w:r>
    </w:p>
    <w:tbl>
      <w:tblPr>
        <w:tblW w:w="7053" w:type="dxa"/>
        <w:jc w:val="left"/>
        <w:tblInd w:w="0" w:type="dxa"/>
        <w:tblCellMar>
          <w:top w:w="0" w:type="dxa"/>
          <w:left w:w="0" w:type="dxa"/>
          <w:bottom w:w="0" w:type="dxa"/>
          <w:right w:w="0" w:type="dxa"/>
        </w:tblCellMar>
      </w:tblPr>
      <w:tblGrid>
        <w:gridCol w:w="38"/>
        <w:gridCol w:w="110"/>
        <w:gridCol w:w="69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905" w:type="dxa"/>
            <w:tcBorders/>
            <w:shd w:fill="auto" w:val="clear"/>
            <w:vAlign w:val="center"/>
          </w:tcPr>
          <w:p>
            <w:pPr>
              <w:pStyle w:val="TableContents"/>
              <w:spacing w:before="0" w:after="0"/>
              <w:rPr>
                <w:color w:val="000000"/>
              </w:rPr>
            </w:pPr>
            <w:r>
              <w:rPr>
                <w:color w:val="000000"/>
              </w:rPr>
              <w:t>changes in financial estimates or recommendations by securities analysts;</w:t>
            </w:r>
          </w:p>
        </w:tc>
      </w:tr>
    </w:tbl>
    <w:p>
      <w:pPr>
        <w:pStyle w:val="TextBody"/>
        <w:spacing w:before="0" w:after="0"/>
        <w:rPr/>
      </w:pPr>
      <w:r>
        <w:rPr/>
      </w:r>
    </w:p>
    <w:tbl>
      <w:tblPr>
        <w:tblW w:w="3363" w:type="dxa"/>
        <w:jc w:val="left"/>
        <w:tblInd w:w="0" w:type="dxa"/>
        <w:tblCellMar>
          <w:top w:w="0" w:type="dxa"/>
          <w:left w:w="0" w:type="dxa"/>
          <w:bottom w:w="0" w:type="dxa"/>
          <w:right w:w="0" w:type="dxa"/>
        </w:tblCellMar>
      </w:tblPr>
      <w:tblGrid>
        <w:gridCol w:w="38"/>
        <w:gridCol w:w="110"/>
        <w:gridCol w:w="32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3215" w:type="dxa"/>
            <w:tcBorders/>
            <w:shd w:fill="auto" w:val="clear"/>
            <w:vAlign w:val="center"/>
          </w:tcPr>
          <w:p>
            <w:pPr>
              <w:pStyle w:val="TableContents"/>
              <w:spacing w:before="0" w:after="0"/>
              <w:rPr>
                <w:color w:val="000000"/>
              </w:rPr>
            </w:pPr>
            <w:r>
              <w:rPr>
                <w:color w:val="000000"/>
              </w:rPr>
              <w:t>public concern over our products;</w:t>
            </w:r>
          </w:p>
        </w:tc>
      </w:tr>
    </w:tbl>
    <w:p>
      <w:pPr>
        <w:pStyle w:val="TextBody"/>
        <w:spacing w:before="0" w:after="0"/>
        <w:rPr/>
      </w:pPr>
      <w:r>
        <w:rPr/>
      </w:r>
    </w:p>
    <w:tbl>
      <w:tblPr>
        <w:tblW w:w="7773" w:type="dxa"/>
        <w:jc w:val="left"/>
        <w:tblInd w:w="0" w:type="dxa"/>
        <w:tblCellMar>
          <w:top w:w="0" w:type="dxa"/>
          <w:left w:w="0" w:type="dxa"/>
          <w:bottom w:w="0" w:type="dxa"/>
          <w:right w:w="0" w:type="dxa"/>
        </w:tblCellMar>
      </w:tblPr>
      <w:tblGrid>
        <w:gridCol w:w="38"/>
        <w:gridCol w:w="110"/>
        <w:gridCol w:w="76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625" w:type="dxa"/>
            <w:tcBorders/>
            <w:shd w:fill="auto" w:val="clear"/>
            <w:vAlign w:val="center"/>
          </w:tcPr>
          <w:p>
            <w:pPr>
              <w:pStyle w:val="TableContents"/>
              <w:spacing w:before="0" w:after="0"/>
              <w:rPr>
                <w:color w:val="000000"/>
              </w:rPr>
            </w:pPr>
            <w:r>
              <w:rPr>
                <w:color w:val="000000"/>
              </w:rPr>
              <w:t>developments or disputes concerning patents or other intellectual property rights;</w:t>
            </w:r>
          </w:p>
        </w:tc>
      </w:tr>
    </w:tbl>
    <w:p>
      <w:pPr>
        <w:pStyle w:val="TextBody"/>
        <w:spacing w:before="0" w:after="0"/>
        <w:rPr/>
      </w:pPr>
      <w:r>
        <w:rPr/>
      </w:r>
    </w:p>
    <w:tbl>
      <w:tblPr>
        <w:tblW w:w="6453" w:type="dxa"/>
        <w:jc w:val="left"/>
        <w:tblInd w:w="0" w:type="dxa"/>
        <w:tblCellMar>
          <w:top w:w="0" w:type="dxa"/>
          <w:left w:w="0" w:type="dxa"/>
          <w:bottom w:w="0" w:type="dxa"/>
          <w:right w:w="0" w:type="dxa"/>
        </w:tblCellMar>
      </w:tblPr>
      <w:tblGrid>
        <w:gridCol w:w="38"/>
        <w:gridCol w:w="110"/>
        <w:gridCol w:w="63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305" w:type="dxa"/>
            <w:tcBorders/>
            <w:shd w:fill="auto" w:val="clear"/>
            <w:vAlign w:val="center"/>
          </w:tcPr>
          <w:p>
            <w:pPr>
              <w:pStyle w:val="TableContents"/>
              <w:spacing w:before="0" w:after="0"/>
              <w:rPr>
                <w:color w:val="000000"/>
              </w:rPr>
            </w:pPr>
            <w:r>
              <w:rPr>
                <w:color w:val="000000"/>
              </w:rPr>
              <w:t>product liability claims and litigation against us or our competitors;</w:t>
            </w:r>
          </w:p>
        </w:tc>
      </w:tr>
    </w:tbl>
    <w:p>
      <w:pPr>
        <w:pStyle w:val="TextBody"/>
        <w:spacing w:before="0" w:after="0"/>
        <w:rPr/>
      </w:pPr>
      <w:r>
        <w:rPr/>
      </w:r>
    </w:p>
    <w:tbl>
      <w:tblPr>
        <w:tblW w:w="3108" w:type="dxa"/>
        <w:jc w:val="left"/>
        <w:tblInd w:w="0" w:type="dxa"/>
        <w:tblCellMar>
          <w:top w:w="0" w:type="dxa"/>
          <w:left w:w="0" w:type="dxa"/>
          <w:bottom w:w="0" w:type="dxa"/>
          <w:right w:w="0" w:type="dxa"/>
        </w:tblCellMar>
      </w:tblPr>
      <w:tblGrid>
        <w:gridCol w:w="38"/>
        <w:gridCol w:w="110"/>
        <w:gridCol w:w="29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2960" w:type="dxa"/>
            <w:tcBorders/>
            <w:shd w:fill="auto" w:val="clear"/>
            <w:vAlign w:val="center"/>
          </w:tcPr>
          <w:p>
            <w:pPr>
              <w:pStyle w:val="TableContents"/>
              <w:spacing w:before="0" w:after="0"/>
              <w:rPr>
                <w:color w:val="000000"/>
              </w:rPr>
            </w:pPr>
            <w:r>
              <w:rPr>
                <w:color w:val="000000"/>
              </w:rPr>
              <w:t>the departure of key personnel;</w:t>
            </w:r>
          </w:p>
        </w:tc>
      </w:tr>
    </w:tbl>
    <w:p>
      <w:pPr>
        <w:pStyle w:val="TextBody"/>
        <w:spacing w:before="0" w:after="0"/>
        <w:rPr/>
      </w:pPr>
      <w:r>
        <w:rPr/>
      </w:r>
    </w:p>
    <w:tbl>
      <w:tblPr>
        <w:tblW w:w="7893" w:type="dxa"/>
        <w:jc w:val="left"/>
        <w:tblInd w:w="0" w:type="dxa"/>
        <w:tblCellMar>
          <w:top w:w="0" w:type="dxa"/>
          <w:left w:w="0" w:type="dxa"/>
          <w:bottom w:w="0" w:type="dxa"/>
          <w:right w:w="0" w:type="dxa"/>
        </w:tblCellMar>
      </w:tblPr>
      <w:tblGrid>
        <w:gridCol w:w="38"/>
        <w:gridCol w:w="110"/>
        <w:gridCol w:w="77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745" w:type="dxa"/>
            <w:tcBorders/>
            <w:shd w:fill="auto" w:val="clear"/>
            <w:vAlign w:val="center"/>
          </w:tcPr>
          <w:p>
            <w:pPr>
              <w:pStyle w:val="TableContents"/>
              <w:spacing w:before="0" w:after="0"/>
              <w:rPr>
                <w:color w:val="000000"/>
              </w:rPr>
            </w:pPr>
            <w:r>
              <w:rPr>
                <w:color w:val="000000"/>
              </w:rPr>
              <w:t>the strength of our balance sheet and any perceived need to raise additional funds;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variations in our financial results from expected financial results or those of companies that are perceived to be similar to us;</w:t>
            </w:r>
          </w:p>
        </w:tc>
      </w:tr>
    </w:tbl>
    <w:p>
      <w:pPr>
        <w:pStyle w:val="TextBody"/>
        <w:spacing w:before="0" w:after="0"/>
        <w:rPr/>
      </w:pPr>
      <w:r>
        <w:rPr/>
      </w:r>
    </w:p>
    <w:tbl>
      <w:tblPr>
        <w:tblW w:w="8163" w:type="dxa"/>
        <w:jc w:val="left"/>
        <w:tblInd w:w="0" w:type="dxa"/>
        <w:tblCellMar>
          <w:top w:w="0" w:type="dxa"/>
          <w:left w:w="0" w:type="dxa"/>
          <w:bottom w:w="0" w:type="dxa"/>
          <w:right w:w="0" w:type="dxa"/>
        </w:tblCellMar>
      </w:tblPr>
      <w:tblGrid>
        <w:gridCol w:w="38"/>
        <w:gridCol w:w="110"/>
        <w:gridCol w:w="80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8015" w:type="dxa"/>
            <w:tcBorders/>
            <w:shd w:fill="auto" w:val="clear"/>
            <w:vAlign w:val="center"/>
          </w:tcPr>
          <w:p>
            <w:pPr>
              <w:pStyle w:val="TableContents"/>
              <w:spacing w:before="0" w:after="0"/>
              <w:rPr>
                <w:color w:val="000000"/>
              </w:rPr>
            </w:pPr>
            <w:r>
              <w:rPr>
                <w:color w:val="000000"/>
              </w:rPr>
              <w:t>changes in the structure of third-party reimbursement in the U.S. and other countries;</w:t>
            </w:r>
          </w:p>
        </w:tc>
      </w:tr>
    </w:tbl>
    <w:p>
      <w:pPr>
        <w:pStyle w:val="TextBody"/>
        <w:spacing w:before="0" w:after="0"/>
        <w:rPr/>
      </w:pPr>
      <w:r>
        <w:rPr/>
      </w:r>
    </w:p>
    <w:tbl>
      <w:tblPr>
        <w:tblW w:w="4458" w:type="dxa"/>
        <w:jc w:val="left"/>
        <w:tblInd w:w="0" w:type="dxa"/>
        <w:tblCellMar>
          <w:top w:w="0" w:type="dxa"/>
          <w:left w:w="0" w:type="dxa"/>
          <w:bottom w:w="0" w:type="dxa"/>
          <w:right w:w="0" w:type="dxa"/>
        </w:tblCellMar>
      </w:tblPr>
      <w:tblGrid>
        <w:gridCol w:w="38"/>
        <w:gridCol w:w="110"/>
        <w:gridCol w:w="43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4310" w:type="dxa"/>
            <w:tcBorders/>
            <w:shd w:fill="auto" w:val="clear"/>
            <w:vAlign w:val="center"/>
          </w:tcPr>
          <w:p>
            <w:pPr>
              <w:pStyle w:val="TableContents"/>
              <w:spacing w:before="0" w:after="0"/>
              <w:rPr>
                <w:color w:val="000000"/>
              </w:rPr>
            </w:pPr>
            <w:r>
              <w:rPr>
                <w:color w:val="000000"/>
              </w:rPr>
              <w:t>changes in accounting principles or practices;</w:t>
            </w:r>
          </w:p>
        </w:tc>
      </w:tr>
    </w:tbl>
    <w:p>
      <w:pPr>
        <w:pStyle w:val="TextBody"/>
        <w:spacing w:before="0" w:after="0"/>
        <w:rPr/>
      </w:pPr>
      <w:r>
        <w:rPr/>
      </w:r>
    </w:p>
    <w:tbl>
      <w:tblPr>
        <w:tblW w:w="5343" w:type="dxa"/>
        <w:jc w:val="left"/>
        <w:tblInd w:w="0" w:type="dxa"/>
        <w:tblCellMar>
          <w:top w:w="0" w:type="dxa"/>
          <w:left w:w="0" w:type="dxa"/>
          <w:bottom w:w="0" w:type="dxa"/>
          <w:right w:w="0" w:type="dxa"/>
        </w:tblCellMar>
      </w:tblPr>
      <w:tblGrid>
        <w:gridCol w:w="38"/>
        <w:gridCol w:w="110"/>
        <w:gridCol w:w="51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195" w:type="dxa"/>
            <w:tcBorders/>
            <w:shd w:fill="auto" w:val="clear"/>
            <w:vAlign w:val="center"/>
          </w:tcPr>
          <w:p>
            <w:pPr>
              <w:pStyle w:val="TableContents"/>
              <w:spacing w:before="0" w:after="0"/>
              <w:rPr>
                <w:color w:val="000000"/>
              </w:rPr>
            </w:pPr>
            <w:r>
              <w:rPr>
                <w:color w:val="000000"/>
              </w:rPr>
              <w:t>general economic, industry and market conditions; and</w:t>
            </w:r>
          </w:p>
        </w:tc>
      </w:tr>
    </w:tbl>
    <w:p>
      <w:pPr>
        <w:pStyle w:val="TextBody"/>
        <w:spacing w:before="0" w:after="0"/>
        <w:rPr/>
      </w:pPr>
      <w:r>
        <w:rPr/>
      </w:r>
    </w:p>
    <w:tbl>
      <w:tblPr>
        <w:tblW w:w="3378" w:type="dxa"/>
        <w:jc w:val="left"/>
        <w:tblInd w:w="0" w:type="dxa"/>
        <w:tblCellMar>
          <w:top w:w="0" w:type="dxa"/>
          <w:left w:w="0" w:type="dxa"/>
          <w:bottom w:w="0" w:type="dxa"/>
          <w:right w:w="0" w:type="dxa"/>
        </w:tblCellMar>
      </w:tblPr>
      <w:tblGrid>
        <w:gridCol w:w="38"/>
        <w:gridCol w:w="110"/>
        <w:gridCol w:w="32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3230" w:type="dxa"/>
            <w:tcBorders/>
            <w:shd w:fill="auto" w:val="clear"/>
            <w:vAlign w:val="center"/>
          </w:tcPr>
          <w:p>
            <w:pPr>
              <w:pStyle w:val="TableContents"/>
              <w:spacing w:before="0" w:after="0"/>
              <w:rPr>
                <w:color w:val="000000"/>
              </w:rPr>
            </w:pPr>
            <w:r>
              <w:rPr>
                <w:color w:val="000000"/>
              </w:rPr>
              <w:t>future sales of our common stock.</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Our charter documents and Delaware law may inhibit a takeover that stockholders consider favorable and could also limit the market price of our stock.</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pStyle w:val="TextBody"/>
        <w:spacing w:before="0" w:after="0"/>
        <w:jc w:val="left"/>
        <w:rPr/>
      </w:pPr>
      <w:r>
        <w:rPr/>
      </w:r>
    </w:p>
    <w:tbl>
      <w:tblPr>
        <w:tblW w:w="5178" w:type="dxa"/>
        <w:jc w:val="left"/>
        <w:tblInd w:w="0" w:type="dxa"/>
        <w:tblCellMar>
          <w:top w:w="0" w:type="dxa"/>
          <w:left w:w="0" w:type="dxa"/>
          <w:bottom w:w="0" w:type="dxa"/>
          <w:right w:w="0" w:type="dxa"/>
        </w:tblCellMar>
      </w:tblPr>
      <w:tblGrid>
        <w:gridCol w:w="38"/>
        <w:gridCol w:w="110"/>
        <w:gridCol w:w="50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030" w:type="dxa"/>
            <w:tcBorders/>
            <w:shd w:fill="auto" w:val="clear"/>
            <w:vAlign w:val="center"/>
          </w:tcPr>
          <w:p>
            <w:pPr>
              <w:pStyle w:val="TableContents"/>
              <w:spacing w:before="0" w:after="0"/>
              <w:rPr>
                <w:color w:val="000000"/>
              </w:rPr>
            </w:pPr>
            <w:r>
              <w:rPr>
                <w:color w:val="000000"/>
              </w:rPr>
              <w:t>limit who may call a special meeting of stockholders;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establish advance notice requirements for nominations for election to our board of directors or for proposing matters that can be acted upon at stockholder meetings;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do not permit cumulative voting in the election of our directors, which would otherwise permit less than a majority of stockholders to elect directors;</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prohibit stockholder action by written consent, thereby requiring all stockholder actions to be taken at a meeting of our stockholders; and</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provide our board of directors the ability to designate the terms of and issue a new series of preferred stock without stockholder approval.</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5" w:name="UNRESOLVEDSTAFFCOMMENTS"/>
      <w:bookmarkStart w:id="6" w:name="UNRESOLVEDSTAFFCOMMENTS"/>
      <w:bookmarkEnd w:id="6"/>
    </w:p>
    <w:tbl>
      <w:tblPr>
        <w:tblW w:w="5185" w:type="dxa"/>
        <w:jc w:val="left"/>
        <w:tblInd w:w="0" w:type="dxa"/>
        <w:tblCellMar>
          <w:top w:w="0" w:type="dxa"/>
          <w:left w:w="0" w:type="dxa"/>
          <w:bottom w:w="0" w:type="dxa"/>
          <w:right w:w="0" w:type="dxa"/>
        </w:tblCellMar>
      </w:tblPr>
      <w:tblGrid>
        <w:gridCol w:w="1085"/>
        <w:gridCol w:w="4100"/>
      </w:tblGrid>
      <w:tr>
        <w:trPr/>
        <w:tc>
          <w:tcPr>
            <w:tcW w:w="1085" w:type="dxa"/>
            <w:tcBorders/>
            <w:shd w:fill="auto" w:val="clear"/>
            <w:vAlign w:val="center"/>
          </w:tcPr>
          <w:p>
            <w:pPr>
              <w:pStyle w:val="TableContents"/>
              <w:spacing w:before="0" w:after="283"/>
              <w:rPr>
                <w:b/>
              </w:rPr>
            </w:pPr>
            <w:r>
              <w:rPr>
                <w:b/>
              </w:rPr>
              <w:t>ITEM 1B.</w:t>
            </w:r>
          </w:p>
        </w:tc>
        <w:tc>
          <w:tcPr>
            <w:tcW w:w="4100" w:type="dxa"/>
            <w:tcBorders/>
            <w:shd w:fill="auto" w:val="clear"/>
            <w:vAlign w:val="center"/>
          </w:tcPr>
          <w:p>
            <w:pPr>
              <w:pStyle w:val="TableContents"/>
              <w:spacing w:before="0" w:after="0"/>
              <w:jc w:val="both"/>
              <w:rPr>
                <w:b/>
              </w:rPr>
            </w:pPr>
            <w:r>
              <w:rPr>
                <w:b/>
              </w:rPr>
              <w:t>UNRESOLVED STAFF COMMENTS</w:t>
            </w:r>
          </w:p>
        </w:tc>
      </w:tr>
    </w:tbl>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both"/>
        <w:rPr/>
      </w:pPr>
      <w:r>
        <w:rPr/>
      </w:r>
    </w:p>
    <w:p>
      <w:pPr>
        <w:pStyle w:val="Normal"/>
        <w:spacing w:before="0" w:after="0"/>
        <w:jc w:val="left"/>
        <w:rPr>
          <w:sz w:val="4"/>
          <w:szCs w:val="4"/>
        </w:rPr>
      </w:pPr>
      <w:r>
        <w:rPr>
          <w:sz w:val="4"/>
          <w:szCs w:val="4"/>
        </w:rPr>
      </w:r>
      <w:bookmarkStart w:id="7" w:name="PROPERTIES"/>
      <w:bookmarkStart w:id="8" w:name="PROPERTIES"/>
      <w:bookmarkEnd w:id="8"/>
    </w:p>
    <w:tbl>
      <w:tblPr>
        <w:tblW w:w="2515" w:type="dxa"/>
        <w:jc w:val="left"/>
        <w:tblInd w:w="0" w:type="dxa"/>
        <w:tblCellMar>
          <w:top w:w="0" w:type="dxa"/>
          <w:left w:w="0" w:type="dxa"/>
          <w:bottom w:w="0" w:type="dxa"/>
          <w:right w:w="0" w:type="dxa"/>
        </w:tblCellMar>
      </w:tblPr>
      <w:tblGrid>
        <w:gridCol w:w="920"/>
        <w:gridCol w:w="1595"/>
      </w:tblGrid>
      <w:tr>
        <w:trPr/>
        <w:tc>
          <w:tcPr>
            <w:tcW w:w="920" w:type="dxa"/>
            <w:tcBorders/>
            <w:shd w:fill="auto" w:val="clear"/>
            <w:vAlign w:val="center"/>
          </w:tcPr>
          <w:p>
            <w:pPr>
              <w:pStyle w:val="TableContents"/>
              <w:spacing w:before="0" w:after="283"/>
              <w:rPr>
                <w:b/>
              </w:rPr>
            </w:pPr>
            <w:r>
              <w:rPr>
                <w:b/>
              </w:rPr>
              <w:t>ITEM 2.</w:t>
            </w:r>
          </w:p>
        </w:tc>
        <w:tc>
          <w:tcPr>
            <w:tcW w:w="1595" w:type="dxa"/>
            <w:tcBorders/>
            <w:shd w:fill="auto" w:val="clear"/>
            <w:vAlign w:val="center"/>
          </w:tcPr>
          <w:p>
            <w:pPr>
              <w:pStyle w:val="TableContents"/>
              <w:spacing w:before="0" w:after="0"/>
              <w:jc w:val="both"/>
              <w:rPr>
                <w:b/>
              </w:rPr>
            </w:pPr>
            <w:r>
              <w:rPr>
                <w:b/>
              </w:rPr>
              <w:t>PROPERTIES</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lease an 8,513 sq. ft. facility in Horsham, Pennsylvania that houses our executive offices and marketing. The lease was set to expire in January 2023. In August 2022, we exercised the lease renewal option and extended the term of the lease to expire in August 2026.</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lease a 17,000 sq. ft. facility consisting of office, manufacturing and warehousing space in Carlsbad, California. The lease was set to expire on September 30, 2019. On May 1, 2019, we entered into the Fifth Amendment to the lease. The term of the lease commenced on October 1, 2019 and expires on September 30, 2024. Our Carlsbad facility houses the manufacturing and development operations for our excimer laser business, as well as the patient call center and reimbursement center.</w:t>
      </w:r>
    </w:p>
    <w:p>
      <w:pPr>
        <w:pStyle w:val="TextBody"/>
        <w:spacing w:before="0" w:after="0"/>
        <w:jc w:val="both"/>
        <w:rPr/>
      </w:pPr>
      <w:r>
        <w:rPr/>
      </w:r>
    </w:p>
    <w:p>
      <w:pPr>
        <w:pStyle w:val="Normal"/>
        <w:spacing w:before="0" w:after="0"/>
        <w:jc w:val="left"/>
        <w:rPr>
          <w:sz w:val="4"/>
          <w:szCs w:val="4"/>
        </w:rPr>
      </w:pPr>
      <w:r>
        <w:rPr>
          <w:sz w:val="4"/>
          <w:szCs w:val="4"/>
        </w:rPr>
      </w:r>
      <w:bookmarkStart w:id="9" w:name="LEGALPROCEEDINGS"/>
      <w:bookmarkStart w:id="10" w:name="LEGALPROCEEDINGS"/>
      <w:bookmarkEnd w:id="10"/>
    </w:p>
    <w:tbl>
      <w:tblPr>
        <w:tblW w:w="3655" w:type="dxa"/>
        <w:jc w:val="left"/>
        <w:tblInd w:w="0" w:type="dxa"/>
        <w:tblCellMar>
          <w:top w:w="0" w:type="dxa"/>
          <w:left w:w="0" w:type="dxa"/>
          <w:bottom w:w="0" w:type="dxa"/>
          <w:right w:w="0" w:type="dxa"/>
        </w:tblCellMar>
      </w:tblPr>
      <w:tblGrid>
        <w:gridCol w:w="920"/>
        <w:gridCol w:w="2735"/>
      </w:tblGrid>
      <w:tr>
        <w:trPr/>
        <w:tc>
          <w:tcPr>
            <w:tcW w:w="920" w:type="dxa"/>
            <w:tcBorders/>
            <w:shd w:fill="auto" w:val="clear"/>
            <w:vAlign w:val="center"/>
          </w:tcPr>
          <w:p>
            <w:pPr>
              <w:pStyle w:val="TableContents"/>
              <w:spacing w:before="0" w:after="283"/>
              <w:rPr>
                <w:b/>
              </w:rPr>
            </w:pPr>
            <w:r>
              <w:rPr>
                <w:b/>
              </w:rPr>
              <w:t>ITEM 3.</w:t>
            </w:r>
          </w:p>
        </w:tc>
        <w:tc>
          <w:tcPr>
            <w:tcW w:w="2735" w:type="dxa"/>
            <w:tcBorders/>
            <w:shd w:fill="auto" w:val="clear"/>
            <w:vAlign w:val="center"/>
          </w:tcPr>
          <w:p>
            <w:pPr>
              <w:pStyle w:val="TableContents"/>
              <w:spacing w:before="0" w:after="0"/>
              <w:rPr>
                <w:b/>
              </w:rPr>
            </w:pPr>
            <w:r>
              <w:rPr>
                <w:b/>
              </w:rPr>
              <w:t>LEGAL PROCEEDINGS</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On April 1, 2022, a proposed representative class action under California’s Private Attorneys General Act (“PAGA”) was filed in Superior Court of California, County of San Diego against the Company and an employment agency (“Co-Defendant”) which provided the Company with temporary employees. The complaint alleges various violations of the California Labor Code, including California’s wage and hour laws, relating to current and former non-exempt employees of the Company. The complaint seeks class status and payments for allegedly unpaid compensation and attorney’s fees. In a related matter, the attorneys in this matter and the proposed class representative, in a letter dated March 12, 2022, to the California Labor &amp; Workforce Development Agency made nearly identical claims seeking the right to pursue a PAGA action against the Company and the employment agency. On or about May 16, 2022, the plaintiff filed a First Amended Complaint adding a PAGA claim to the action. On or about June 2, 2022, the plaintiff filed an Application to Dismiss Class and Individual Claim without prejudice, in an attempt to pursue a PAGA only complaint. On or about June 30, 2022, the parties entered into a stipulation to allow the plaintiff to file a Second Amended Complaint to clarify the PAGA claim and to stay the pending action to allow an attempt at through mediation. The mediation was held on February 23, 2023, and the matter was settled on terms agreeable to the Company. The settlement, which would require us to pay $0.1 million, is tentative and subject to court approval and the right of individual class members to reject the settlement and proceed on their own.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are currently under audit by two taxing jurisdictions, pertaining to sales and/or use tax. One jurisdiction has assessed us an amount of $1.5 million including penalties and interest, in two assessments, for the period from March 2014 through February 2020. We have declined an informal offer to settle the first assessment at a substantially lower amount and are currently in that jurisdiction’s administrative process of appeal.</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January 2021, we received notification that the administrative law judge had issued an opinion finding in favor of us that the sale of XTRAC treatment codes is not taxable as sales tax with respect to the first assessment. The relevant taxing authority filed an appeal of the administrative law judge’s finding and, following the submission of legal briefs by both sides and oral argument held in January 2022, on May 6, 2022, we received a written decision from the Taxing Authority’s Appeals Tribunal (“Tribunal”) overturning the favorable sales tax determination of the administrative law judge. We filed an appeal of the Tribunal’s decision, and posted the required appellate bond requiring posting cash collateral, with the appellate court, and are awaiting for the appellate court to set a briefing and oral argument schedule.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 second jurisdiction has made an assessment of $0.7 million from June 2015 through March 2018 plus interest of $0.2 million through April 2020.  We are in this jurisdiction’s administrative process of appeal as well and the timing of the process has been impacted by the COVID-19 pandemic. If it is found we are not exempt from sales tax in these or other states then potential tax liabilities including interest and penalties would be higher than accrued amounts</w:t>
      </w:r>
      <w:r>
        <w:rPr>
          <w:rFonts w:ascii="Times New Roman" w:hAnsi="Times New Roman"/>
          <w:b/>
          <w:color w:val="000000"/>
          <w:sz w:val="20"/>
        </w:rPr>
        <w:t>. </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11" w:name="MINESAFETYDISCLOSURES"/>
      <w:bookmarkStart w:id="12" w:name="MINESAFETYDISCLOSURES"/>
      <w:bookmarkEnd w:id="12"/>
    </w:p>
    <w:tbl>
      <w:tblPr>
        <w:tblW w:w="4435" w:type="dxa"/>
        <w:jc w:val="left"/>
        <w:tblInd w:w="0" w:type="dxa"/>
        <w:tblCellMar>
          <w:top w:w="0" w:type="dxa"/>
          <w:left w:w="0" w:type="dxa"/>
          <w:bottom w:w="0" w:type="dxa"/>
          <w:right w:w="0" w:type="dxa"/>
        </w:tblCellMar>
      </w:tblPr>
      <w:tblGrid>
        <w:gridCol w:w="920"/>
        <w:gridCol w:w="3515"/>
      </w:tblGrid>
      <w:tr>
        <w:trPr/>
        <w:tc>
          <w:tcPr>
            <w:tcW w:w="920" w:type="dxa"/>
            <w:tcBorders/>
            <w:shd w:fill="auto" w:val="clear"/>
            <w:vAlign w:val="center"/>
          </w:tcPr>
          <w:p>
            <w:pPr>
              <w:pStyle w:val="TableContents"/>
              <w:spacing w:before="0" w:after="283"/>
              <w:rPr>
                <w:b/>
              </w:rPr>
            </w:pPr>
            <w:r>
              <w:rPr>
                <w:b/>
              </w:rPr>
              <w:t>ITEM 4.</w:t>
            </w:r>
          </w:p>
        </w:tc>
        <w:tc>
          <w:tcPr>
            <w:tcW w:w="3515" w:type="dxa"/>
            <w:tcBorders/>
            <w:shd w:fill="auto" w:val="clear"/>
            <w:vAlign w:val="center"/>
          </w:tcPr>
          <w:p>
            <w:pPr>
              <w:pStyle w:val="TableContents"/>
              <w:spacing w:before="0" w:after="0"/>
              <w:jc w:val="both"/>
              <w:rPr>
                <w:b/>
              </w:rPr>
            </w:pPr>
            <w:r>
              <w:rPr>
                <w:b/>
              </w:rPr>
              <w:t>MINE SAFETY DISCLOSURES</w:t>
            </w:r>
          </w:p>
        </w:tc>
      </w:tr>
    </w:tbl>
    <w:p>
      <w:pPr>
        <w:pStyle w:val="TextBody"/>
        <w:spacing w:before="0" w:after="0"/>
        <w:jc w:val="both"/>
        <w:rPr>
          <w:color w:val="000000"/>
        </w:rPr>
      </w:pPr>
      <w:r>
        <w:rPr>
          <w:color w:val="000000"/>
        </w:rPr>
        <w:t> </w:t>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both"/>
        <w:rPr/>
      </w:pPr>
      <w:r>
        <w:rPr/>
      </w:r>
    </w:p>
    <w:p>
      <w:pPr>
        <w:pStyle w:val="TextBody"/>
        <w:spacing w:before="0" w:after="0"/>
        <w:jc w:val="center"/>
        <w:rPr>
          <w:rFonts w:ascii="Times New Roman" w:hAnsi="Times New Roman"/>
          <w:b/>
          <w:color w:val="000000"/>
          <w:sz w:val="20"/>
        </w:rPr>
      </w:pPr>
      <w:bookmarkStart w:id="13" w:name="PART2"/>
      <w:bookmarkEnd w:id="13"/>
      <w:r>
        <w:rPr>
          <w:rFonts w:ascii="Times New Roman" w:hAnsi="Times New Roman"/>
          <w:b/>
          <w:color w:val="000000"/>
          <w:sz w:val="20"/>
        </w:rPr>
        <w:t>PART II</w:t>
      </w:r>
    </w:p>
    <w:p>
      <w:pPr>
        <w:pStyle w:val="TextBody"/>
        <w:spacing w:before="0" w:after="0"/>
        <w:jc w:val="both"/>
        <w:rPr/>
      </w:pPr>
      <w:r>
        <w:rPr/>
      </w:r>
    </w:p>
    <w:p>
      <w:pPr>
        <w:pStyle w:val="Normal"/>
        <w:spacing w:before="0" w:after="0"/>
        <w:jc w:val="left"/>
        <w:rPr>
          <w:sz w:val="4"/>
          <w:szCs w:val="4"/>
        </w:rPr>
      </w:pPr>
      <w:r>
        <w:rPr>
          <w:sz w:val="4"/>
          <w:szCs w:val="4"/>
        </w:rPr>
      </w:r>
      <w:bookmarkStart w:id="14" w:name="MARKETFORREGISTRANTSCOMMO"/>
      <w:bookmarkStart w:id="15" w:name="MARKETFORREGISTRANTSCOMMO"/>
      <w:bookmarkEnd w:id="15"/>
    </w:p>
    <w:tbl>
      <w:tblPr>
        <w:tblW w:w="10205" w:type="dxa"/>
        <w:jc w:val="left"/>
        <w:tblInd w:w="0" w:type="dxa"/>
        <w:tblCellMar>
          <w:top w:w="0" w:type="dxa"/>
          <w:left w:w="0" w:type="dxa"/>
          <w:bottom w:w="0" w:type="dxa"/>
          <w:right w:w="0" w:type="dxa"/>
        </w:tblCellMar>
      </w:tblPr>
      <w:tblGrid>
        <w:gridCol w:w="803"/>
        <w:gridCol w:w="9402"/>
      </w:tblGrid>
      <w:tr>
        <w:trPr/>
        <w:tc>
          <w:tcPr>
            <w:tcW w:w="803" w:type="dxa"/>
            <w:tcBorders/>
            <w:shd w:fill="auto" w:val="clear"/>
            <w:vAlign w:val="center"/>
          </w:tcPr>
          <w:p>
            <w:pPr>
              <w:pStyle w:val="TableContents"/>
              <w:spacing w:before="0" w:after="283"/>
              <w:rPr>
                <w:b/>
              </w:rPr>
            </w:pPr>
            <w:r>
              <w:rPr>
                <w:b/>
              </w:rPr>
              <w:t>ITEM 5.</w:t>
            </w:r>
          </w:p>
        </w:tc>
        <w:tc>
          <w:tcPr>
            <w:tcW w:w="9402" w:type="dxa"/>
            <w:tcBorders/>
            <w:shd w:fill="auto" w:val="clear"/>
            <w:vAlign w:val="center"/>
          </w:tcPr>
          <w:p>
            <w:pPr>
              <w:pStyle w:val="TableContents"/>
              <w:spacing w:before="0" w:after="0"/>
              <w:jc w:val="both"/>
              <w:rPr>
                <w:b/>
              </w:rPr>
            </w:pPr>
            <w:r>
              <w:rPr>
                <w:b/>
              </w:rPr>
              <w:t>MARKET FOR REGISTRANT’S COMMON EQUITY, RELATED STOCKHOLDER MATTERS AND ISSUER PURCHASES OF EQUITY SECURITIES</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March 15, 2023, we had 34,881,453 shares of common stock issued and outstanding, which are listed on the Nasdaq Capital Markets under the symbol “SSKN.” This did not include (i) options to purchase 4,464,714 shares of common stock, of which 2,368,841 were vested as of March 15, 2023, (ii) unissued restricted stock units of 119,597, or (iii) 373,626 shares of common stock reserved for issuance pursuant to a warrant.</w:t>
      </w:r>
    </w:p>
    <w:p>
      <w:pPr>
        <w:pStyle w:val="TextBody"/>
        <w:spacing w:before="0" w:after="0"/>
        <w:ind w:left="0" w:right="0" w:firstLine="360"/>
        <w:jc w:val="both"/>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DIVIDEND POLICY</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pStyle w:val="TextBody"/>
        <w:spacing w:before="0" w:after="0"/>
        <w:jc w:val="both"/>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Equity Compensation Plan Information</w:t>
      </w:r>
    </w:p>
    <w:p>
      <w:pPr>
        <w:pStyle w:val="TextBody"/>
        <w:spacing w:before="0" w:after="0"/>
        <w:jc w:val="left"/>
        <w:rPr/>
      </w:pPr>
      <w:r>
        <w:rPr/>
      </w:r>
    </w:p>
    <w:p>
      <w:pPr>
        <w:pStyle w:val="TextBody"/>
        <w:spacing w:before="0" w:after="0"/>
        <w:ind w:left="0" w:right="0" w:firstLine="360"/>
        <w:jc w:val="left"/>
        <w:rPr>
          <w:rFonts w:ascii="Times New Roman" w:hAnsi="Times New Roman"/>
          <w:color w:val="000000"/>
          <w:sz w:val="20"/>
        </w:rPr>
      </w:pPr>
      <w:r>
        <w:rPr>
          <w:rFonts w:ascii="Times New Roman" w:hAnsi="Times New Roman"/>
          <w:color w:val="000000"/>
          <w:sz w:val="20"/>
        </w:rPr>
        <w:t>The following is a summary of all of our equity compensation plans, including plans that were assumed through acquisitions and individual arrangements that provide for the issuance of equity securities as compensation, as of December 31, 2022. See Notes 1 and 14 to the consolidated financial statements for additional discussion.</w:t>
      </w:r>
    </w:p>
    <w:p>
      <w:pPr>
        <w:pStyle w:val="TextBody"/>
        <w:spacing w:before="0" w:after="0"/>
        <w:jc w:val="left"/>
        <w:rPr/>
      </w:pPr>
      <w:r>
        <w:rPr/>
      </w:r>
    </w:p>
    <w:tbl>
      <w:tblPr>
        <w:tblW w:w="10205" w:type="dxa"/>
        <w:jc w:val="left"/>
        <w:tblInd w:w="0" w:type="dxa"/>
        <w:tblCellMar>
          <w:top w:w="0" w:type="dxa"/>
          <w:left w:w="0" w:type="dxa"/>
          <w:bottom w:w="28" w:type="dxa"/>
          <w:right w:w="0" w:type="dxa"/>
        </w:tblCellMar>
      </w:tblPr>
      <w:tblGrid>
        <w:gridCol w:w="4728"/>
        <w:gridCol w:w="60"/>
        <w:gridCol w:w="96"/>
        <w:gridCol w:w="1596"/>
        <w:gridCol w:w="60"/>
        <w:gridCol w:w="60"/>
        <w:gridCol w:w="382"/>
        <w:gridCol w:w="1206"/>
        <w:gridCol w:w="60"/>
        <w:gridCol w:w="60"/>
        <w:gridCol w:w="104"/>
        <w:gridCol w:w="1714"/>
        <w:gridCol w:w="79"/>
      </w:tblGrid>
      <w:tr>
        <w:trPr/>
        <w:tc>
          <w:tcPr>
            <w:tcW w:w="4728" w:type="dxa"/>
            <w:tcBorders>
              <w:bottom w:val="single" w:sz="12" w:space="0" w:color="000000"/>
            </w:tcBorders>
            <w:shd w:fill="auto" w:val="clear"/>
            <w:vAlign w:val="bottom"/>
          </w:tcPr>
          <w:p>
            <w:pPr>
              <w:pStyle w:val="TableContents"/>
              <w:spacing w:before="0" w:after="0"/>
              <w:rPr>
                <w:b/>
              </w:rPr>
            </w:pPr>
            <w:r>
              <w:rPr>
                <w:b/>
              </w:rPr>
              <w:t>Plan Category</w:t>
            </w:r>
          </w:p>
        </w:tc>
        <w:tc>
          <w:tcPr>
            <w:tcW w:w="60" w:type="dxa"/>
            <w:tcBorders>
              <w:bottom w:val="single" w:sz="12" w:space="0" w:color="000000"/>
            </w:tcBorders>
            <w:shd w:fill="auto" w:val="clear"/>
            <w:vAlign w:val="bottom"/>
          </w:tcPr>
          <w:p>
            <w:pPr>
              <w:pStyle w:val="TableContents"/>
              <w:spacing w:before="0" w:after="283"/>
              <w:rPr/>
            </w:pPr>
            <w:r>
              <w:rPr/>
              <w:t> </w:t>
            </w:r>
          </w:p>
        </w:tc>
        <w:tc>
          <w:tcPr>
            <w:tcW w:w="1692" w:type="dxa"/>
            <w:gridSpan w:val="2"/>
            <w:tcBorders>
              <w:bottom w:val="single" w:sz="12" w:space="0" w:color="000000"/>
            </w:tcBorders>
            <w:shd w:fill="auto" w:val="clear"/>
            <w:vAlign w:val="bottom"/>
          </w:tcPr>
          <w:p>
            <w:pPr>
              <w:pStyle w:val="TableContents"/>
              <w:spacing w:before="0" w:after="0"/>
              <w:jc w:val="center"/>
              <w:rPr>
                <w:b/>
              </w:rPr>
            </w:pPr>
            <w:r>
              <w:rPr>
                <w:b/>
              </w:rPr>
              <w:t xml:space="preserve">Number of </w:t>
            </w:r>
          </w:p>
          <w:p>
            <w:pPr>
              <w:pStyle w:val="TableContents"/>
              <w:spacing w:before="0" w:after="0"/>
              <w:jc w:val="center"/>
              <w:rPr>
                <w:b/>
              </w:rPr>
            </w:pPr>
            <w:r>
              <w:rPr>
                <w:b/>
              </w:rPr>
              <w:t>securities</w:t>
            </w:r>
          </w:p>
          <w:p>
            <w:pPr>
              <w:pStyle w:val="TableContents"/>
              <w:spacing w:before="0" w:after="0"/>
              <w:jc w:val="center"/>
              <w:rPr>
                <w:b/>
              </w:rPr>
            </w:pPr>
            <w:r>
              <w:rPr>
                <w:b/>
              </w:rPr>
              <w:t xml:space="preserve">to be issued upon </w:t>
            </w:r>
          </w:p>
          <w:p>
            <w:pPr>
              <w:pStyle w:val="TableContents"/>
              <w:spacing w:before="0" w:after="0"/>
              <w:jc w:val="center"/>
              <w:rPr>
                <w:b/>
              </w:rPr>
            </w:pPr>
            <w:r>
              <w:rPr>
                <w:b/>
              </w:rPr>
              <w:t xml:space="preserve">exercise of </w:t>
            </w:r>
          </w:p>
          <w:p>
            <w:pPr>
              <w:pStyle w:val="TableContents"/>
              <w:spacing w:before="0" w:after="0"/>
              <w:jc w:val="center"/>
              <w:rPr>
                <w:b/>
              </w:rPr>
            </w:pPr>
            <w:r>
              <w:rPr>
                <w:b/>
              </w:rPr>
              <w:t xml:space="preserve">outstanding </w:t>
            </w:r>
          </w:p>
          <w:p>
            <w:pPr>
              <w:pStyle w:val="TableContents"/>
              <w:spacing w:before="0" w:after="0"/>
              <w:jc w:val="center"/>
              <w:rPr>
                <w:b/>
              </w:rPr>
            </w:pPr>
            <w:r>
              <w:rPr>
                <w:b/>
              </w:rPr>
              <w:t>securities</w:t>
            </w:r>
          </w:p>
          <w:p>
            <w:pPr>
              <w:pStyle w:val="TableContents"/>
              <w:spacing w:before="0" w:after="0"/>
              <w:jc w:val="center"/>
              <w:rPr>
                <w:b/>
              </w:rPr>
            </w:pPr>
            <w:r>
              <w:rPr>
                <w:b/>
              </w:rPr>
              <w:t>(#)</w:t>
            </w:r>
          </w:p>
        </w:tc>
        <w:tc>
          <w:tcPr>
            <w:tcW w:w="60" w:type="dxa"/>
            <w:tcBorders>
              <w:bottom w:val="single" w:sz="12" w:space="0" w:color="000000"/>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588" w:type="dxa"/>
            <w:gridSpan w:val="2"/>
            <w:tcBorders>
              <w:bottom w:val="single" w:sz="12" w:space="0" w:color="000000"/>
            </w:tcBorders>
            <w:shd w:fill="auto" w:val="clear"/>
            <w:vAlign w:val="bottom"/>
          </w:tcPr>
          <w:p>
            <w:pPr>
              <w:pStyle w:val="TableContents"/>
              <w:spacing w:before="0" w:after="0"/>
              <w:jc w:val="center"/>
              <w:rPr>
                <w:b/>
              </w:rPr>
            </w:pPr>
            <w:r>
              <w:rPr>
                <w:b/>
              </w:rPr>
              <w:t xml:space="preserve">Weighted </w:t>
            </w:r>
          </w:p>
          <w:p>
            <w:pPr>
              <w:pStyle w:val="TableContents"/>
              <w:spacing w:before="0" w:after="0"/>
              <w:jc w:val="center"/>
              <w:rPr>
                <w:b/>
              </w:rPr>
            </w:pPr>
            <w:r>
              <w:rPr>
                <w:b/>
              </w:rPr>
              <w:t xml:space="preserve">average </w:t>
            </w:r>
          </w:p>
          <w:p>
            <w:pPr>
              <w:pStyle w:val="TableContents"/>
              <w:spacing w:before="0" w:after="0"/>
              <w:jc w:val="center"/>
              <w:rPr>
                <w:b/>
              </w:rPr>
            </w:pPr>
            <w:r>
              <w:rPr>
                <w:b/>
              </w:rPr>
              <w:t xml:space="preserve">exercise price of </w:t>
            </w:r>
          </w:p>
          <w:p>
            <w:pPr>
              <w:pStyle w:val="TableContents"/>
              <w:spacing w:before="0" w:after="0"/>
              <w:jc w:val="center"/>
              <w:rPr>
                <w:b/>
              </w:rPr>
            </w:pPr>
            <w:r>
              <w:rPr>
                <w:b/>
              </w:rPr>
              <w:t>outstanding</w:t>
            </w:r>
          </w:p>
          <w:p>
            <w:pPr>
              <w:pStyle w:val="TableContents"/>
              <w:spacing w:before="0" w:after="0"/>
              <w:jc w:val="center"/>
              <w:rPr>
                <w:b/>
              </w:rPr>
            </w:pPr>
            <w:r>
              <w:rPr>
                <w:b/>
              </w:rPr>
              <w:t>options ($)</w:t>
            </w:r>
          </w:p>
        </w:tc>
        <w:tc>
          <w:tcPr>
            <w:tcW w:w="60" w:type="dxa"/>
            <w:tcBorders>
              <w:bottom w:val="single" w:sz="12" w:space="0" w:color="000000"/>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818" w:type="dxa"/>
            <w:gridSpan w:val="2"/>
            <w:tcBorders>
              <w:bottom w:val="single" w:sz="12" w:space="0" w:color="000000"/>
            </w:tcBorders>
            <w:shd w:fill="auto" w:val="clear"/>
            <w:vAlign w:val="bottom"/>
          </w:tcPr>
          <w:p>
            <w:pPr>
              <w:pStyle w:val="TableContents"/>
              <w:spacing w:before="0" w:after="0"/>
              <w:jc w:val="center"/>
              <w:rPr>
                <w:b/>
              </w:rPr>
            </w:pPr>
            <w:r>
              <w:rPr>
                <w:b/>
              </w:rPr>
              <w:t xml:space="preserve">Number of </w:t>
            </w:r>
          </w:p>
          <w:p>
            <w:pPr>
              <w:pStyle w:val="TableContents"/>
              <w:spacing w:before="0" w:after="0"/>
              <w:jc w:val="center"/>
              <w:rPr>
                <w:b/>
              </w:rPr>
            </w:pPr>
            <w:r>
              <w:rPr>
                <w:b/>
              </w:rPr>
              <w:t xml:space="preserve">securities </w:t>
            </w:r>
          </w:p>
          <w:p>
            <w:pPr>
              <w:pStyle w:val="TableContents"/>
              <w:spacing w:before="0" w:after="0"/>
              <w:jc w:val="center"/>
              <w:rPr>
                <w:b/>
              </w:rPr>
            </w:pPr>
            <w:r>
              <w:rPr>
                <w:b/>
              </w:rPr>
              <w:t xml:space="preserve">remaining </w:t>
            </w:r>
          </w:p>
          <w:p>
            <w:pPr>
              <w:pStyle w:val="TableContents"/>
              <w:spacing w:before="0" w:after="0"/>
              <w:jc w:val="center"/>
              <w:rPr>
                <w:b/>
              </w:rPr>
            </w:pPr>
            <w:r>
              <w:rPr>
                <w:b/>
              </w:rPr>
              <w:t xml:space="preserve">available for </w:t>
            </w:r>
          </w:p>
          <w:p>
            <w:pPr>
              <w:pStyle w:val="TableContents"/>
              <w:spacing w:before="0" w:after="0"/>
              <w:jc w:val="center"/>
              <w:rPr>
                <w:b/>
              </w:rPr>
            </w:pPr>
            <w:r>
              <w:rPr>
                <w:b/>
              </w:rPr>
              <w:t xml:space="preserve">future issuance </w:t>
            </w:r>
          </w:p>
          <w:p>
            <w:pPr>
              <w:pStyle w:val="TableContents"/>
              <w:spacing w:before="0" w:after="0"/>
              <w:jc w:val="center"/>
              <w:rPr>
                <w:b/>
              </w:rPr>
            </w:pPr>
            <w:r>
              <w:rPr>
                <w:b/>
              </w:rPr>
              <w:t xml:space="preserve">under equity </w:t>
            </w:r>
          </w:p>
          <w:p>
            <w:pPr>
              <w:pStyle w:val="TableContents"/>
              <w:spacing w:before="0" w:after="0"/>
              <w:jc w:val="center"/>
              <w:rPr>
                <w:b/>
              </w:rPr>
            </w:pPr>
            <w:r>
              <w:rPr>
                <w:b/>
              </w:rPr>
              <w:t xml:space="preserve">compensation </w:t>
            </w:r>
          </w:p>
          <w:p>
            <w:pPr>
              <w:pStyle w:val="TableContents"/>
              <w:spacing w:before="0" w:after="0"/>
              <w:jc w:val="center"/>
              <w:rPr>
                <w:b/>
              </w:rPr>
            </w:pPr>
            <w:r>
              <w:rPr>
                <w:b/>
              </w:rPr>
              <w:t xml:space="preserve">plans (excluding </w:t>
            </w:r>
          </w:p>
          <w:p>
            <w:pPr>
              <w:pStyle w:val="TableContents"/>
              <w:spacing w:before="0" w:after="0"/>
              <w:jc w:val="center"/>
              <w:rPr>
                <w:b/>
              </w:rPr>
            </w:pPr>
            <w:r>
              <w:rPr>
                <w:b/>
              </w:rPr>
              <w:t xml:space="preserve">securities reflected </w:t>
            </w:r>
          </w:p>
          <w:p>
            <w:pPr>
              <w:pStyle w:val="TableContents"/>
              <w:spacing w:before="0" w:after="0"/>
              <w:jc w:val="center"/>
              <w:rPr>
                <w:b/>
              </w:rPr>
            </w:pPr>
            <w:r>
              <w:rPr>
                <w:b/>
              </w:rPr>
              <w:t>in column(a)) (#)</w:t>
            </w:r>
          </w:p>
        </w:tc>
        <w:tc>
          <w:tcPr>
            <w:tcW w:w="79" w:type="dxa"/>
            <w:tcBorders/>
            <w:shd w:fill="auto" w:val="clear"/>
            <w:tcMar>
              <w:bottom w:w="0" w:type="dxa"/>
            </w:tcMar>
            <w:vAlign w:val="bottom"/>
          </w:tcPr>
          <w:p>
            <w:pPr>
              <w:pStyle w:val="TableContents"/>
              <w:spacing w:before="0" w:after="283"/>
              <w:rPr/>
            </w:pPr>
            <w:r>
              <w:rPr/>
              <w:t> </w:t>
            </w:r>
          </w:p>
        </w:tc>
      </w:tr>
      <w:tr>
        <w:trPr/>
        <w:tc>
          <w:tcPr>
            <w:tcW w:w="4728"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692" w:type="dxa"/>
            <w:gridSpan w:val="2"/>
            <w:tcBorders/>
            <w:shd w:fill="auto" w:val="clear"/>
            <w:tcMar>
              <w:bottom w:w="0" w:type="dxa"/>
            </w:tcMar>
            <w:vAlign w:val="bottom"/>
          </w:tcPr>
          <w:p>
            <w:pPr>
              <w:pStyle w:val="TableContents"/>
              <w:spacing w:before="0" w:after="0"/>
              <w:jc w:val="center"/>
              <w:rPr>
                <w:b/>
              </w:rPr>
            </w:pPr>
            <w:r>
              <w:rPr>
                <w:b/>
              </w:rPr>
              <w:t>(a)</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88" w:type="dxa"/>
            <w:gridSpan w:val="2"/>
            <w:tcBorders/>
            <w:shd w:fill="auto" w:val="clear"/>
            <w:tcMar>
              <w:bottom w:w="0" w:type="dxa"/>
            </w:tcMar>
            <w:vAlign w:val="bottom"/>
          </w:tcPr>
          <w:p>
            <w:pPr>
              <w:pStyle w:val="TableContents"/>
              <w:spacing w:before="0" w:after="0"/>
              <w:jc w:val="center"/>
              <w:rPr>
                <w:b/>
              </w:rPr>
            </w:pPr>
            <w:r>
              <w:rPr>
                <w:b/>
              </w:rPr>
              <w:t>(b)</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818" w:type="dxa"/>
            <w:gridSpan w:val="2"/>
            <w:tcBorders/>
            <w:shd w:fill="auto" w:val="clear"/>
            <w:tcMar>
              <w:bottom w:w="0" w:type="dxa"/>
            </w:tcMar>
            <w:vAlign w:val="bottom"/>
          </w:tcPr>
          <w:p>
            <w:pPr>
              <w:pStyle w:val="TableContents"/>
              <w:spacing w:before="0" w:after="0"/>
              <w:jc w:val="center"/>
              <w:rPr>
                <w:b/>
              </w:rPr>
            </w:pPr>
            <w:r>
              <w:rPr>
                <w:b/>
              </w:rPr>
              <w:t>(c)</w:t>
            </w:r>
          </w:p>
        </w:tc>
        <w:tc>
          <w:tcPr>
            <w:tcW w:w="79" w:type="dxa"/>
            <w:tcBorders/>
            <w:shd w:fill="auto" w:val="clear"/>
            <w:tcMar>
              <w:bottom w:w="0" w:type="dxa"/>
            </w:tcMar>
            <w:vAlign w:val="bottom"/>
          </w:tcPr>
          <w:p>
            <w:pPr>
              <w:pStyle w:val="TableContents"/>
              <w:spacing w:before="0" w:after="283"/>
              <w:rPr/>
            </w:pPr>
            <w:r>
              <w:rPr/>
              <w:t> </w:t>
            </w:r>
          </w:p>
        </w:tc>
      </w:tr>
      <w:tr>
        <w:trPr/>
        <w:tc>
          <w:tcPr>
            <w:tcW w:w="4728" w:type="dxa"/>
            <w:tcBorders/>
            <w:shd w:fill="CCEEFF" w:val="clear"/>
            <w:tcMar>
              <w:bottom w:w="0" w:type="dxa"/>
            </w:tcMar>
            <w:vAlign w:val="bottom"/>
          </w:tcPr>
          <w:p>
            <w:pPr>
              <w:pStyle w:val="TableContents"/>
              <w:spacing w:before="0" w:after="0"/>
              <w:rPr/>
            </w:pPr>
            <w:r>
              <w:rPr/>
              <w:t>Equity compensation plans approved by security holders</w:t>
            </w:r>
          </w:p>
        </w:tc>
        <w:tc>
          <w:tcPr>
            <w:tcW w:w="60" w:type="dxa"/>
            <w:tcBorders/>
            <w:shd w:fill="CCEEFF" w:val="clear"/>
            <w:tcMar>
              <w:bottom w:w="0" w:type="dxa"/>
            </w:tcMar>
            <w:vAlign w:val="bottom"/>
          </w:tcPr>
          <w:p>
            <w:pPr>
              <w:pStyle w:val="TableContents"/>
              <w:spacing w:before="0" w:after="283"/>
              <w:rPr/>
            </w:pPr>
            <w:r>
              <w:rPr/>
              <w:t> </w:t>
            </w:r>
          </w:p>
        </w:tc>
        <w:tc>
          <w:tcPr>
            <w:tcW w:w="96" w:type="dxa"/>
            <w:tcBorders/>
            <w:shd w:fill="CCEEFF" w:val="clear"/>
            <w:tcMar>
              <w:bottom w:w="0" w:type="dxa"/>
            </w:tcMar>
            <w:vAlign w:val="bottom"/>
          </w:tcPr>
          <w:p>
            <w:pPr>
              <w:pStyle w:val="TableContents"/>
              <w:spacing w:before="0" w:after="283"/>
              <w:rPr/>
            </w:pPr>
            <w:r>
              <w:rPr/>
              <w:t> </w:t>
            </w:r>
          </w:p>
        </w:tc>
        <w:tc>
          <w:tcPr>
            <w:tcW w:w="1596" w:type="dxa"/>
            <w:tcBorders/>
            <w:shd w:fill="CCEEFF" w:val="clear"/>
            <w:tcMar>
              <w:bottom w:w="0" w:type="dxa"/>
            </w:tcMar>
            <w:vAlign w:val="bottom"/>
          </w:tcPr>
          <w:p>
            <w:pPr>
              <w:pStyle w:val="TableContents"/>
              <w:spacing w:before="0" w:after="0"/>
              <w:jc w:val="right"/>
              <w:rPr/>
            </w:pPr>
            <w:r>
              <w:rPr/>
              <w:t>4,474,714</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82" w:type="dxa"/>
            <w:tcBorders/>
            <w:shd w:fill="CCEEFF" w:val="clear"/>
            <w:tcMar>
              <w:bottom w:w="0" w:type="dxa"/>
            </w:tcMar>
            <w:vAlign w:val="bottom"/>
          </w:tcPr>
          <w:p>
            <w:pPr>
              <w:pStyle w:val="TableContents"/>
              <w:spacing w:before="0" w:after="0"/>
              <w:rPr/>
            </w:pPr>
            <w:r>
              <w:rPr/>
              <w:t>$</w:t>
            </w:r>
          </w:p>
        </w:tc>
        <w:tc>
          <w:tcPr>
            <w:tcW w:w="1206" w:type="dxa"/>
            <w:tcBorders/>
            <w:shd w:fill="CCEEFF" w:val="clear"/>
            <w:tcMar>
              <w:bottom w:w="0" w:type="dxa"/>
            </w:tcMar>
            <w:vAlign w:val="bottom"/>
          </w:tcPr>
          <w:p>
            <w:pPr>
              <w:pStyle w:val="TableContents"/>
              <w:spacing w:before="0" w:after="0"/>
              <w:jc w:val="right"/>
              <w:rPr/>
            </w:pPr>
            <w:r>
              <w:rPr/>
              <w:t>1.72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04" w:type="dxa"/>
            <w:tcBorders/>
            <w:shd w:fill="CCEEFF" w:val="clear"/>
            <w:tcMar>
              <w:bottom w:w="0" w:type="dxa"/>
            </w:tcMar>
            <w:vAlign w:val="bottom"/>
          </w:tcPr>
          <w:p>
            <w:pPr>
              <w:pStyle w:val="TableContents"/>
              <w:spacing w:before="0" w:after="283"/>
              <w:rPr/>
            </w:pPr>
            <w:r>
              <w:rPr/>
              <w:t> </w:t>
            </w:r>
          </w:p>
        </w:tc>
        <w:tc>
          <w:tcPr>
            <w:tcW w:w="1714" w:type="dxa"/>
            <w:tcBorders/>
            <w:shd w:fill="CCEEFF" w:val="clear"/>
            <w:tcMar>
              <w:bottom w:w="0" w:type="dxa"/>
            </w:tcMar>
            <w:vAlign w:val="bottom"/>
          </w:tcPr>
          <w:p>
            <w:pPr>
              <w:pStyle w:val="TableContents"/>
              <w:spacing w:before="0" w:after="0"/>
              <w:jc w:val="right"/>
              <w:rPr>
                <w:color w:val="000000"/>
              </w:rPr>
            </w:pPr>
            <w:r>
              <w:rPr>
                <w:color w:val="000000"/>
              </w:rPr>
              <w:t>3,193,706</w:t>
            </w:r>
          </w:p>
        </w:tc>
        <w:tc>
          <w:tcPr>
            <w:tcW w:w="79" w:type="dxa"/>
            <w:tcBorders/>
            <w:shd w:fill="CCEEFF" w:val="clear"/>
            <w:tcMar>
              <w:bottom w:w="0" w:type="dxa"/>
            </w:tcMar>
            <w:vAlign w:val="bottom"/>
          </w:tcPr>
          <w:p>
            <w:pPr>
              <w:pStyle w:val="TableContents"/>
              <w:spacing w:before="0" w:after="283"/>
              <w:rPr/>
            </w:pPr>
            <w:r>
              <w:rPr/>
              <w:t> </w:t>
            </w:r>
          </w:p>
        </w:tc>
      </w:tr>
      <w:tr>
        <w:trPr/>
        <w:tc>
          <w:tcPr>
            <w:tcW w:w="4728" w:type="dxa"/>
            <w:tcBorders/>
            <w:shd w:fill="auto" w:val="clear"/>
            <w:tcMar>
              <w:bottom w:w="0" w:type="dxa"/>
            </w:tcMar>
            <w:vAlign w:val="bottom"/>
          </w:tcPr>
          <w:p>
            <w:pPr>
              <w:pStyle w:val="TableContents"/>
              <w:spacing w:before="0" w:after="0"/>
              <w:rPr/>
            </w:pPr>
            <w:r>
              <w:rPr/>
              <w:t>Equity compensation plans not approved by security holders</w:t>
            </w:r>
          </w:p>
        </w:tc>
        <w:tc>
          <w:tcPr>
            <w:tcW w:w="60" w:type="dxa"/>
            <w:tcBorders/>
            <w:shd w:fill="auto" w:val="clear"/>
            <w:tcMar>
              <w:bottom w:w="0" w:type="dxa"/>
            </w:tcMar>
            <w:vAlign w:val="bottom"/>
          </w:tcPr>
          <w:p>
            <w:pPr>
              <w:pStyle w:val="TableContents"/>
              <w:spacing w:before="0" w:after="283"/>
              <w:rPr/>
            </w:pPr>
            <w:r>
              <w:rPr/>
              <w:t> </w:t>
            </w:r>
          </w:p>
        </w:tc>
        <w:tc>
          <w:tcPr>
            <w:tcW w:w="96" w:type="dxa"/>
            <w:tcBorders>
              <w:bottom w:val="single" w:sz="12" w:space="0" w:color="000000"/>
            </w:tcBorders>
            <w:shd w:fill="auto" w:val="clear"/>
            <w:vAlign w:val="bottom"/>
          </w:tcPr>
          <w:p>
            <w:pPr>
              <w:pStyle w:val="TableContents"/>
              <w:spacing w:before="0" w:after="283"/>
              <w:rPr/>
            </w:pPr>
            <w:r>
              <w:rPr/>
              <w:t> </w:t>
            </w:r>
          </w:p>
        </w:tc>
        <w:tc>
          <w:tcPr>
            <w:tcW w:w="1596" w:type="dxa"/>
            <w:tcBorders>
              <w:bottom w:val="single" w:sz="12" w:space="0" w:color="000000"/>
            </w:tcBorders>
            <w:shd w:fill="auto" w:val="clear"/>
            <w:vAlign w:val="bottom"/>
          </w:tcPr>
          <w:p>
            <w:pPr>
              <w:pStyle w:val="TableContents"/>
              <w:spacing w:before="0" w:after="0"/>
              <w:jc w:val="right"/>
              <w:rPr/>
            </w:pPr>
            <w:r>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82" w:type="dxa"/>
            <w:tcBorders>
              <w:bottom w:val="single" w:sz="12" w:space="0" w:color="000000"/>
            </w:tcBorders>
            <w:shd w:fill="auto" w:val="clear"/>
            <w:vAlign w:val="bottom"/>
          </w:tcPr>
          <w:p>
            <w:pPr>
              <w:pStyle w:val="TableContents"/>
              <w:spacing w:before="0" w:after="283"/>
              <w:rPr/>
            </w:pPr>
            <w:r>
              <w:rPr/>
              <w:t> </w:t>
            </w:r>
          </w:p>
        </w:tc>
        <w:tc>
          <w:tcPr>
            <w:tcW w:w="1206" w:type="dxa"/>
            <w:tcBorders>
              <w:bottom w:val="single" w:sz="12" w:space="0" w:color="000000"/>
            </w:tcBorders>
            <w:shd w:fill="auto" w:val="clear"/>
            <w:vAlign w:val="bottom"/>
          </w:tcPr>
          <w:p>
            <w:pPr>
              <w:pStyle w:val="TableContents"/>
              <w:spacing w:before="0" w:after="0"/>
              <w:jc w:val="right"/>
              <w:rPr/>
            </w:pPr>
            <w:r>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4" w:type="dxa"/>
            <w:tcBorders>
              <w:bottom w:val="single" w:sz="12" w:space="0" w:color="000000"/>
            </w:tcBorders>
            <w:shd w:fill="auto" w:val="clear"/>
            <w:vAlign w:val="bottom"/>
          </w:tcPr>
          <w:p>
            <w:pPr>
              <w:pStyle w:val="TableContents"/>
              <w:spacing w:before="0" w:after="283"/>
              <w:rPr/>
            </w:pPr>
            <w:r>
              <w:rPr/>
              <w:t> </w:t>
            </w:r>
          </w:p>
        </w:tc>
        <w:tc>
          <w:tcPr>
            <w:tcW w:w="1714" w:type="dxa"/>
            <w:tcBorders>
              <w:bottom w:val="single" w:sz="12" w:space="0" w:color="000000"/>
            </w:tcBorders>
            <w:shd w:fill="auto" w:val="clear"/>
            <w:vAlign w:val="bottom"/>
          </w:tcPr>
          <w:p>
            <w:pPr>
              <w:pStyle w:val="TableContents"/>
              <w:spacing w:before="0" w:after="0"/>
              <w:jc w:val="right"/>
              <w:rPr/>
            </w:pPr>
            <w:r>
              <w:rPr/>
              <w:t>—</w:t>
            </w:r>
          </w:p>
        </w:tc>
        <w:tc>
          <w:tcPr>
            <w:tcW w:w="79" w:type="dxa"/>
            <w:tcBorders/>
            <w:shd w:fill="auto" w:val="clear"/>
            <w:tcMar>
              <w:bottom w:w="0" w:type="dxa"/>
            </w:tcMar>
            <w:vAlign w:val="bottom"/>
          </w:tcPr>
          <w:p>
            <w:pPr>
              <w:pStyle w:val="TableContents"/>
              <w:spacing w:before="0" w:after="283"/>
              <w:rPr/>
            </w:pPr>
            <w:r>
              <w:rPr/>
              <w:t> </w:t>
            </w:r>
          </w:p>
        </w:tc>
      </w:tr>
      <w:tr>
        <w:trPr/>
        <w:tc>
          <w:tcPr>
            <w:tcW w:w="472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6" w:type="dxa"/>
            <w:tcBorders>
              <w:bottom w:val="double" w:sz="8" w:space="0" w:color="000000"/>
            </w:tcBorders>
            <w:shd w:fill="CCEEFF" w:val="clear"/>
            <w:vAlign w:val="bottom"/>
          </w:tcPr>
          <w:p>
            <w:pPr>
              <w:pStyle w:val="TableContents"/>
              <w:spacing w:before="0" w:after="283"/>
              <w:rPr/>
            </w:pPr>
            <w:r>
              <w:rPr/>
              <w:t> </w:t>
            </w:r>
          </w:p>
        </w:tc>
        <w:tc>
          <w:tcPr>
            <w:tcW w:w="1596" w:type="dxa"/>
            <w:tcBorders>
              <w:bottom w:val="double" w:sz="8" w:space="0" w:color="000000"/>
            </w:tcBorders>
            <w:shd w:fill="CCEEFF" w:val="clear"/>
            <w:vAlign w:val="bottom"/>
          </w:tcPr>
          <w:p>
            <w:pPr>
              <w:pStyle w:val="TableContents"/>
              <w:spacing w:before="0" w:after="0"/>
              <w:jc w:val="right"/>
              <w:rPr/>
            </w:pPr>
            <w:r>
              <w:rPr/>
              <w:t>4,474,714</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82" w:type="dxa"/>
            <w:tcBorders>
              <w:bottom w:val="double" w:sz="8" w:space="0" w:color="000000"/>
            </w:tcBorders>
            <w:shd w:fill="CCEEFF" w:val="clear"/>
            <w:vAlign w:val="bottom"/>
          </w:tcPr>
          <w:p>
            <w:pPr>
              <w:pStyle w:val="TableContents"/>
              <w:spacing w:before="0" w:after="0"/>
              <w:rPr/>
            </w:pPr>
            <w:r>
              <w:rPr/>
              <w:t>$</w:t>
            </w:r>
          </w:p>
        </w:tc>
        <w:tc>
          <w:tcPr>
            <w:tcW w:w="1206" w:type="dxa"/>
            <w:tcBorders>
              <w:bottom w:val="double" w:sz="8" w:space="0" w:color="000000"/>
            </w:tcBorders>
            <w:shd w:fill="CCEEFF" w:val="clear"/>
            <w:vAlign w:val="bottom"/>
          </w:tcPr>
          <w:p>
            <w:pPr>
              <w:pStyle w:val="TableContents"/>
              <w:spacing w:before="0" w:after="0"/>
              <w:jc w:val="right"/>
              <w:rPr/>
            </w:pPr>
            <w:r>
              <w:rPr/>
              <w:t>1.72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04" w:type="dxa"/>
            <w:tcBorders>
              <w:bottom w:val="double" w:sz="8" w:space="0" w:color="000000"/>
            </w:tcBorders>
            <w:shd w:fill="CCEEFF" w:val="clear"/>
            <w:vAlign w:val="bottom"/>
          </w:tcPr>
          <w:p>
            <w:pPr>
              <w:pStyle w:val="TableContents"/>
              <w:spacing w:before="0" w:after="283"/>
              <w:rPr/>
            </w:pPr>
            <w:r>
              <w:rPr/>
              <w:t> </w:t>
            </w:r>
          </w:p>
        </w:tc>
        <w:tc>
          <w:tcPr>
            <w:tcW w:w="1714" w:type="dxa"/>
            <w:tcBorders>
              <w:bottom w:val="double" w:sz="8" w:space="0" w:color="000000"/>
            </w:tcBorders>
            <w:shd w:fill="CCEEFF" w:val="clear"/>
            <w:vAlign w:val="bottom"/>
          </w:tcPr>
          <w:p>
            <w:pPr>
              <w:pStyle w:val="TableContents"/>
              <w:spacing w:before="0" w:after="0"/>
              <w:jc w:val="right"/>
              <w:rPr>
                <w:color w:val="000000"/>
              </w:rPr>
            </w:pPr>
            <w:r>
              <w:rPr>
                <w:color w:val="000000"/>
              </w:rPr>
              <w:t>3,193,706</w:t>
            </w:r>
          </w:p>
        </w:tc>
        <w:tc>
          <w:tcPr>
            <w:tcW w:w="79" w:type="dxa"/>
            <w:tcBorders/>
            <w:shd w:fill="CCEEFF" w:val="clear"/>
            <w:tcMar>
              <w:bottom w:w="0" w:type="dxa"/>
            </w:tcM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RECENT SALES OF UNREGISTERED SECURITIES; USE OF PROCEEDS FROM REGISTERED SECURITIES</w:t>
      </w:r>
    </w:p>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None.</w:t>
      </w:r>
    </w:p>
    <w:p>
      <w:pPr>
        <w:pStyle w:val="TextBody"/>
        <w:spacing w:before="0" w:after="0"/>
        <w:ind w:left="0" w:right="0" w:firstLine="360"/>
        <w:jc w:val="both"/>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None.</w:t>
      </w:r>
    </w:p>
    <w:p>
      <w:pPr>
        <w:pStyle w:val="TextBody"/>
        <w:spacing w:before="0" w:after="0"/>
        <w:jc w:val="both"/>
        <w:rPr/>
      </w:pPr>
      <w:r>
        <w:rPr/>
      </w:r>
    </w:p>
    <w:p>
      <w:pPr>
        <w:pStyle w:val="Normal"/>
        <w:spacing w:before="0" w:after="0"/>
        <w:jc w:val="left"/>
        <w:rPr>
          <w:sz w:val="4"/>
          <w:szCs w:val="4"/>
        </w:rPr>
      </w:pPr>
      <w:r>
        <w:rPr>
          <w:sz w:val="4"/>
          <w:szCs w:val="4"/>
        </w:rPr>
      </w:r>
      <w:bookmarkStart w:id="16" w:name="RESERVED"/>
      <w:bookmarkStart w:id="17" w:name="RESERVED"/>
      <w:bookmarkEnd w:id="17"/>
    </w:p>
    <w:tbl>
      <w:tblPr>
        <w:tblW w:w="2455" w:type="dxa"/>
        <w:jc w:val="left"/>
        <w:tblInd w:w="0" w:type="dxa"/>
        <w:tblCellMar>
          <w:top w:w="0" w:type="dxa"/>
          <w:left w:w="0" w:type="dxa"/>
          <w:bottom w:w="0" w:type="dxa"/>
          <w:right w:w="0" w:type="dxa"/>
        </w:tblCellMar>
      </w:tblPr>
      <w:tblGrid>
        <w:gridCol w:w="920"/>
        <w:gridCol w:w="1535"/>
      </w:tblGrid>
      <w:tr>
        <w:trPr/>
        <w:tc>
          <w:tcPr>
            <w:tcW w:w="920" w:type="dxa"/>
            <w:tcBorders/>
            <w:shd w:fill="auto" w:val="clear"/>
            <w:vAlign w:val="center"/>
          </w:tcPr>
          <w:p>
            <w:pPr>
              <w:pStyle w:val="TableContents"/>
              <w:spacing w:before="0" w:after="283"/>
              <w:rPr>
                <w:b/>
              </w:rPr>
            </w:pPr>
            <w:r>
              <w:rPr>
                <w:b/>
              </w:rPr>
              <w:t>ITEM 6.</w:t>
            </w:r>
          </w:p>
        </w:tc>
        <w:tc>
          <w:tcPr>
            <w:tcW w:w="1535" w:type="dxa"/>
            <w:tcBorders/>
            <w:shd w:fill="auto" w:val="clear"/>
            <w:vAlign w:val="center"/>
          </w:tcPr>
          <w:p>
            <w:pPr>
              <w:pStyle w:val="TableContents"/>
              <w:spacing w:before="0" w:after="0"/>
              <w:jc w:val="both"/>
              <w:rPr>
                <w:b/>
              </w:rPr>
            </w:pPr>
            <w:r>
              <w:rPr>
                <w:b/>
              </w:rPr>
              <w:t>[RESERVED]</w:t>
            </w:r>
          </w:p>
        </w:tc>
      </w:tr>
    </w:tbl>
    <w:p>
      <w:pPr>
        <w:pStyle w:val="TextBody"/>
        <w:spacing w:before="0" w:after="0"/>
        <w:jc w:val="both"/>
        <w:rPr/>
      </w:pPr>
      <w:r>
        <w:rPr/>
      </w:r>
    </w:p>
    <w:p>
      <w:pPr>
        <w:pStyle w:val="Normal"/>
        <w:spacing w:before="0" w:after="0"/>
        <w:jc w:val="left"/>
        <w:rPr>
          <w:sz w:val="4"/>
          <w:szCs w:val="4"/>
        </w:rPr>
      </w:pPr>
      <w:r>
        <w:rPr>
          <w:sz w:val="4"/>
          <w:szCs w:val="4"/>
        </w:rPr>
      </w:r>
      <w:bookmarkStart w:id="18" w:name="MANAGEMENTSDISCUSSIONANDA"/>
      <w:bookmarkStart w:id="19" w:name="MANAGEMENTSDISCUSSIONANDA"/>
      <w:bookmarkEnd w:id="19"/>
    </w:p>
    <w:tbl>
      <w:tblPr>
        <w:tblW w:w="10205" w:type="dxa"/>
        <w:jc w:val="left"/>
        <w:tblInd w:w="0" w:type="dxa"/>
        <w:tblCellMar>
          <w:top w:w="0" w:type="dxa"/>
          <w:left w:w="0" w:type="dxa"/>
          <w:bottom w:w="0" w:type="dxa"/>
          <w:right w:w="0" w:type="dxa"/>
        </w:tblCellMar>
      </w:tblPr>
      <w:tblGrid>
        <w:gridCol w:w="884"/>
        <w:gridCol w:w="9321"/>
      </w:tblGrid>
      <w:tr>
        <w:trPr/>
        <w:tc>
          <w:tcPr>
            <w:tcW w:w="884" w:type="dxa"/>
            <w:tcBorders/>
            <w:shd w:fill="auto" w:val="clear"/>
            <w:vAlign w:val="center"/>
          </w:tcPr>
          <w:p>
            <w:pPr>
              <w:pStyle w:val="TableContents"/>
              <w:spacing w:before="0" w:after="0"/>
              <w:jc w:val="both"/>
              <w:rPr/>
            </w:pPr>
            <w:r>
              <w:rPr>
                <w:b/>
              </w:rPr>
              <w:t>ITEM 7.</w:t>
            </w:r>
            <w:r>
              <w:rPr/>
              <w:t xml:space="preserve"> </w:t>
            </w:r>
          </w:p>
        </w:tc>
        <w:tc>
          <w:tcPr>
            <w:tcW w:w="9321" w:type="dxa"/>
            <w:tcBorders/>
            <w:shd w:fill="auto" w:val="clear"/>
            <w:vAlign w:val="center"/>
          </w:tcPr>
          <w:p>
            <w:pPr>
              <w:pStyle w:val="TableContents"/>
              <w:spacing w:before="0" w:after="0"/>
              <w:jc w:val="both"/>
              <w:rPr>
                <w:b/>
              </w:rPr>
            </w:pPr>
            <w:r>
              <w:rPr>
                <w:b/>
              </w:rPr>
              <w:t>MANAGEMENT’S DISCUSSION AND ANALYSIS OF FINANCIAL CONDITION AND RESULTS OF OPERATIONS</w:t>
            </w:r>
          </w:p>
        </w:tc>
      </w:tr>
    </w:tbl>
    <w:p>
      <w:pPr>
        <w:pStyle w:val="TextBody"/>
        <w:spacing w:before="0" w:after="0"/>
        <w:jc w:val="left"/>
        <w:rPr/>
      </w:pPr>
      <w:r>
        <w:rPr/>
      </w:r>
    </w:p>
    <w:p>
      <w:pPr>
        <w:pStyle w:val="TextBody"/>
        <w:spacing w:before="0" w:after="0"/>
        <w:ind w:left="0" w:right="0" w:firstLine="720"/>
        <w:jc w:val="left"/>
        <w:rPr>
          <w:rFonts w:ascii="Times New Roman" w:hAnsi="Times New Roman"/>
          <w:i/>
          <w:color w:val="000000"/>
          <w:sz w:val="20"/>
        </w:rPr>
      </w:pPr>
      <w:r>
        <w:rPr>
          <w:rFonts w:ascii="Times New Roman" w:hAnsi="Times New Roman"/>
          <w:i/>
          <w:color w:val="000000"/>
          <w:sz w:val="20"/>
        </w:rPr>
        <w:t>You should read the following discussion and analysis of our consolidated financial condition and results of operations together with our consolidated financial statements and the related notes and other financial information included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described under the heading “Cautionary Note Regarding Forward-Looking Statements” elsewhere in this Annual Report. You should review the disclosure under the heading “Risk Factors” in this Annual Report for a discussion of important factors that could cause actual results to differ materially from the results described in or implied by the forward-looking statements contained in the following discussion and analysis.</w:t>
      </w:r>
    </w:p>
    <w:p>
      <w:pPr>
        <w:pStyle w:val="TextBody"/>
        <w:spacing w:before="0" w:after="0"/>
        <w:jc w:val="both"/>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Overview</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STRATA Skin Sciences, Inc. is a medical technology company in dermatology dedicated to developing, commercializing and marketing innovative products for the treatment of dermatologic conditions. Its products include the XTRAC® and now Pharos® excimer lasers and VTRAC® lamp systems utilized in the treatment of psoriasis, vitiligo and various other skin conditions, as well as the TheraClear® X Acne Therapy System utilized in the treatment of acne-related skin conditions.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XTRAC ultraviolet light excimer laser system is utilized to treat psoriasis, vitiligo and other skin diseases. The XTRAC excimer laser system received clearance from the United States Food and Drug Administration in 2000 and has since become a widely recognized treatment among dermatologists. The system delivers targeted 308nm ultraviolet light to affected areas of skin, leading to psoriasis clearing and vitiligo repigmentation, following a series of treatments. As of December 31, 2022, there were 909 XTRAC systems placed in dermatologists’ offices in the United States under our dermatology recurring procedures model, an increase from 890 at the end of December 31, 2021. Under the dermatology recurring procedures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We believe there are approximately 8 million people in the United States and up to 125 million people worldwide suffering from psoriasis, and 1% to 2% of the world’s population suffers from vitiligo.</w:t>
      </w:r>
    </w:p>
    <w:p>
      <w:pPr>
        <w:pStyle w:val="TextBody"/>
        <w:spacing w:before="0" w:after="0"/>
        <w:jc w:val="left"/>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Our non-U.S. business focuses on a direct distribution model for equipment sales and recurring revenue, and we have distribution agreements in place in the Mid-East, Asia, and Mexico.</w:t>
      </w:r>
    </w:p>
    <w:p>
      <w:pPr>
        <w:pStyle w:val="TextBody"/>
        <w:spacing w:before="0" w:after="0"/>
        <w:jc w:val="left"/>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Pharos excimer laser system holds FDA clearance to treat chronic skin diseases, including psoriasis, vitiligo, atopic dermatitis and leukoderma.</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TheraClear® X Acne Therapy System combines intense pulse light with vacuum (suction) for the treatment of mild to moderate inflammatory acne (including acne vulgaris), comedonal acne and pustular acne.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i/>
          <w:color w:val="000000"/>
          <w:sz w:val="20"/>
        </w:rPr>
      </w:pPr>
      <w:r>
        <w:rPr>
          <w:rFonts w:ascii="Times New Roman" w:hAnsi="Times New Roman"/>
          <w:i/>
          <w:color w:val="000000"/>
          <w:sz w:val="20"/>
        </w:rPr>
        <w:t>COVID-19 Pandemic</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late 2019, there was an outbreak of a new strain of coronavirus (“COVID-19”) which became a global pandemic. While many of COVID-19’s initial disruptions and damage to the global economy have been mitigated, the COVID-19 pandemic has continued to negatively impact the economy,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offices have reopened, some physician practices closed and never reopened, and the impact of the ongoing COVID-19 pandemic and its variants on our operational and financial performance, including our ability to execute our business strategies and initiatives in the expected time frames, will depend on future developments, including, but not limited to, the ongoing mutations and spread of the COVID-19 virus, impact on business operations, supply chains and transport, and governmental and societal responses thereto, all of which are uncertain and cannot be predicted.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ongoing COVID-19 pandemic has had a negative impact on our results of operations and financial performance through fiscal 2022, and we expect it will continue to have a negative impact on revenues, earnings and cash flows until such time as its customers adjust to the pandemic’s ramifications. Some physician offices continue to experience staffing issues, and we believe these shortages of trained personnel have negatively impacted our business. Accordingly, current results and financial conditions discussed herein may not be indicative of future operating results and trends.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Russia-Ukraine War</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Prior to the outbreak of the Russia-Ukraine War, Ukraine was the largest exporter of noble gases including neon, krypton, and xenon. Historically, Ukraine has been the source of a significant amount of gas supplied to the Company by our contract suppliers. Neon gas is essential to the proper functioning of our lasers. Our supporters have been resourceful in continuing to supply gases to us but cannot assure us that the supply will not remain uninterrupted. The reduced supply and war have raised the price of gas significantly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disruptions caused by this war.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Key Technologies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i/>
                <w:color w:val="000000"/>
              </w:rPr>
              <w:t>XTRAC® Excimer Laser.</w:t>
            </w:r>
            <w:r>
              <w:rPr>
                <w:color w:val="000000"/>
              </w:rPr>
              <w:t xml:space="preserve"> XTRAC received FDA clearance in 2000 and has since become a widely recognized treatment among dermatologists for psoriasis and other skin diseases. The XTRAC System delivers ultra-narrowband ultraviolet B (“UVB”</w:t>
            </w:r>
            <w:r>
              <w:rPr>
                <w:b/>
                <w:color w:val="000000"/>
              </w:rPr>
              <w:t xml:space="preserve">) </w:t>
            </w:r>
            <w:r>
              <w:rPr>
                <w:color w:val="000000"/>
              </w:rPr>
              <w:t>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 a figure that is increasing.</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lineRule="auto" w:line="240" w:before="0" w:after="0"/>
              <w:rPr>
                <w:color w:val="000000"/>
              </w:rPr>
            </w:pPr>
            <w:r>
              <w:rPr>
                <w:color w:val="000000"/>
              </w:rPr>
              <w:t>In January 2020, we announced the FDA granted clearance of our XTRAC Momentum Excimer Laser Platform. In February 2022, we announced the commercial launch, with the first installation in the U.S. market, of our next generation excimer laser system, XTRAC MomentumTM 1.0.</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i/>
                <w:color w:val="000000"/>
              </w:rPr>
              <w:t>VTRAC® Lamp.</w:t>
            </w:r>
            <w:r>
              <w:rPr>
                <w:color w:val="000000"/>
              </w:rPr>
              <w:t xml:space="preserve"> VTRAC received FDA clearance in 2005 and provides targeted therapeutic efficacy demonstrated by excimer technology with the simplicity of design and reliability of a lamp system.</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i/>
                <w:color w:val="000000"/>
              </w:rPr>
              <w:t>TheraClear</w:t>
            </w:r>
            <w:r>
              <w:rPr>
                <w:color w:val="000000"/>
              </w:rPr>
              <w:t xml:space="preserve">® </w:t>
            </w:r>
            <w:r>
              <w:rPr>
                <w:i/>
                <w:color w:val="000000"/>
              </w:rPr>
              <w:t xml:space="preserve">X Acne Treatment Device. </w:t>
            </w:r>
            <w:r>
              <w:rPr>
                <w:color w:val="000000"/>
              </w:rPr>
              <w:t>The TheraClear® Acne Therapy System combines intense pulse light with vacuum (suction) for the treatment of mild to moderate inflammatory acne (including acne vulgaris), comedonal acne and pustular acne.</w:t>
            </w:r>
          </w:p>
        </w:tc>
      </w:tr>
    </w:tbl>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Recent Developments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Asset Acquisitions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i/>
          <w:color w:val="000000"/>
          <w:sz w:val="20"/>
        </w:rPr>
        <w:t>Pharos Laser Acquisition</w:t>
      </w:r>
      <w:r>
        <w:rPr>
          <w:rFonts w:ascii="Times New Roman" w:hAnsi="Times New Roman"/>
          <w:color w:val="000000"/>
          <w:sz w:val="20"/>
        </w:rPr>
        <w:t>. In August 2021 we acquired certain assets and certain liabilities related to the Pharos U.S. dermatology business of Ra Medical Systems, Inc. (“Ra Medical”). The Pharos asset acquisition provides us with the opportunity to market our full business solutions to Ra Medical’s existing customer base of 400 dermatology practices and increase our recurring revenue base. The Pharos transaction also provides a highly synergistic path to gain additional placements for our XTRAC excimer laser system.</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made upfront cash payments of $3.7 million in connection with the Pharos asset acquisition.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i/>
          <w:color w:val="000000"/>
          <w:sz w:val="20"/>
        </w:rPr>
        <w:t>TheraClear Acquisition</w:t>
      </w:r>
      <w:r>
        <w:rPr>
          <w:rFonts w:ascii="Times New Roman" w:hAnsi="Times New Roman"/>
          <w:color w:val="000000"/>
          <w:sz w:val="20"/>
        </w:rPr>
        <w:t>. In January 2022, the Company acquired certain assets related to the TheraClear devices from Theravant Corporation. The TheraClear asset acquisition will allow the Company to futher develop, commercialize and market the TheraClear devices that are used for acne treatment, as well as advance the TheraClear technology into multiple other devices that can be used to treat a range of additional indications.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Company made an upfront cash payment of $0.5 million and issued to Theravant Corporation 358,367 shares of common stock with an aggregate value of $0.5 million in connection with the TheraClear asset acquisition. During the fourth quarter of 2022, the Company also made a $0.5 million milestone payment upon the launch of the TheraClear Acne Therapy System, one of  development related targets. Theravant Corporation is eligible to receive up to $3.0 million in future earnout payments upon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MidCap Financing</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September 2021, we entered into an $8.0 million secured borrowing facility with MidCap Financial Trust, or MidCap. The facility bears interest at LIBOR plus 7.50%, with a LIBOR floor of 0.50%, and matures on September 1, 2026. In September 2022, we amended the facility to transition, upon the cessation of LIBOR, to one-month SOFR, or such other applicable period, plus 0.10%, with a floor or 0.50%. We are obligated to make interest-only payments through September 2024. From October 2024 to maturity, we will make payments of principal and interest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Proceeds from our MidCap facility were used to repay, in their entirety, the outstanding principal and interest associated with our Economic Injury Disaster Loan. In September 2021, we also repaid our note payable with the proceeds from the pledged time deposit held by the lender.</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Equity Distribution Agreement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October 2021, we entered into an equity distribution agreement under which we may sell up to $11.0 million of our shares of common stock in registered “at-the-market” offerings. The shares will be offered at prevailing market prices, and we will pay commissions of up to 3.0% of the gross proceeds from the sale of shares sold through our agent, which may act as an agent and/or principal. We have no obligation to sell any shares under this agreement and may, at any time, suspend solicitations under this agreement. No shares of our common stock have been sold under this distribution agreement during fiscal 2022 or 2021.</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spacing w:before="0" w:after="0"/>
        <w:jc w:val="both"/>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Revenues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To date, we have generated revenues primarily from the placement of our lasers in physicians’ offices and the related sales and rentals and the recurring revenues from our sale of treatment sessions.</w:t>
      </w:r>
    </w:p>
    <w:p>
      <w:pPr>
        <w:pStyle w:val="TextBody"/>
        <w:spacing w:before="0" w:after="0"/>
        <w:jc w:val="left"/>
        <w:rPr/>
      </w:pPr>
      <w:r>
        <w:rPr/>
      </w:r>
    </w:p>
    <w:p>
      <w:pPr>
        <w:pStyle w:val="TextBody"/>
        <w:spacing w:before="0" w:after="0"/>
        <w:ind w:left="20" w:right="0" w:firstLine="700"/>
        <w:jc w:val="left"/>
        <w:rPr>
          <w:rFonts w:ascii="Times New Roman" w:hAnsi="Times New Roman"/>
          <w:color w:val="000000"/>
          <w:sz w:val="20"/>
        </w:rPr>
      </w:pPr>
      <w:r>
        <w:rPr>
          <w:rFonts w:ascii="Times New Roman" w:hAnsi="Times New Roman"/>
          <w:color w:val="000000"/>
          <w:sz w:val="20"/>
        </w:rPr>
        <w:t>Dermatology Recurring Procedures Segment: we have primarily two types of arrangements for our phototherapy treatment equipment as follows: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w:t>
      </w:r>
    </w:p>
    <w:p>
      <w:pPr>
        <w:pStyle w:val="TextBody"/>
        <w:spacing w:before="0" w:after="0"/>
        <w:jc w:val="left"/>
        <w:rPr>
          <w:color w:val="000000"/>
        </w:rPr>
      </w:pPr>
      <w:r>
        <w:rPr>
          <w:color w:val="000000"/>
        </w:rPr>
        <w:t> </w:t>
      </w:r>
    </w:p>
    <w:p>
      <w:pPr>
        <w:pStyle w:val="TextBody"/>
        <w:spacing w:before="0" w:after="0"/>
        <w:ind w:left="20" w:right="0" w:firstLine="700"/>
        <w:jc w:val="left"/>
        <w:rPr>
          <w:rFonts w:ascii="Times New Roman" w:hAnsi="Times New Roman"/>
          <w:color w:val="000000"/>
          <w:sz w:val="20"/>
        </w:rPr>
      </w:pPr>
      <w:r>
        <w:rPr>
          <w:rFonts w:ascii="Times New Roman" w:hAnsi="Times New Roman"/>
          <w:color w:val="000000"/>
          <w:sz w:val="20"/>
        </w:rPr>
        <w:t>Dermatology Procedures Equipment Segment: we sell our products internationally through distributors and domestically, directly to a physician. We also derive revenues from service and repair extended warranty contracts with our existing customers.</w:t>
      </w:r>
    </w:p>
    <w:p>
      <w:pPr>
        <w:pStyle w:val="TextBody"/>
        <w:spacing w:before="0" w:after="0"/>
        <w:jc w:val="left"/>
        <w:rPr>
          <w:color w:val="000000"/>
        </w:rPr>
      </w:pPr>
      <w:r>
        <w:rPr>
          <w:color w:val="000000"/>
        </w:rPr>
        <w:t> </w:t>
      </w:r>
    </w:p>
    <w:p>
      <w:pPr>
        <w:pStyle w:val="TextBody"/>
        <w:spacing w:before="0" w:after="0"/>
        <w:ind w:left="20" w:right="0" w:firstLine="700"/>
        <w:jc w:val="left"/>
        <w:rPr>
          <w:rFonts w:ascii="Times New Roman" w:hAnsi="Times New Roman"/>
          <w:color w:val="000000"/>
          <w:sz w:val="20"/>
        </w:rPr>
      </w:pPr>
      <w:r>
        <w:rPr>
          <w:rFonts w:ascii="Times New Roman" w:hAnsi="Times New Roman"/>
          <w:color w:val="000000"/>
          <w:sz w:val="20"/>
        </w:rPr>
        <w:t>We refer you to the section titled “—Critical Accounting Policies and Use of Estimates—Revenue Recognition” appearing elsewhere in this Annual Report on Form 10-K for additional information regarding how we account for revenues.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Sales in the United States represented 66% and 77% of our total revenues for the years ended December 31, 2022 and 2021, respectively, and have been generated by our direct sales force. Outside the United States, our sales are made through third-party distributors. International revenues were 34% and 23% for the years ended December 31, 2022 and 2021, respectively. We expect that both our United States and international revenues will increase in the near term as we continue to expand our product offerings and increase the related patient utilization in the United States, as well as grow our presence in Asia.</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Cost of Revenues and Gross Margin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Cost of revenues primarily consists of the costs of components and the manufacture of our XTRAC and VTRAC systems. Cost of revenues also includes costs related to personnel, depreciation, amortization, warranty, shipping, and our operations and field service departments.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gross profit is calculated by subtracting our cost of revenues from our revenues. We calculate our gross margin as our gross profit divided by our revenues. Our gross margin has been and will continue to be affected by a variety of factors, primarily product sales mix and pricing manufacturing costs. Our gross margins on revenues from sales of dermatology procedures equipment are lower than our gross margins on revenues from sales of dermatology recurring procedures and, as a result, the sales mix between dermatology recurring procedures and dermatology procedures equipment can affect the gross margin in any reporting period.</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Engineering and Product Development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Engineering and product development expenses consist primarily of personnel expenses, including salaries and related benefits for employees in engineering, product development, regulatory and quality assurance functions. We typically use our employee, consultant and infrastructure resources across our engineering and product development programs.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plan to incur engineering and product development expenses for the near future as we expect to continue our development that focuses on the application of our XTRAC system for the treatment of inflammatory skin disorders. As a result, we expect our engineering and product development expenses to remain similar to our fiscal year 2022 expenses.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Selling and Marketing</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Selling and marketing expenses consist of market research and commercial activities related to the sale of our dermatology recurring procedures and dermatology procedures equipment sales, and salaries and related benefits and sales commissions for employees focused on these efforts. Other significant sales and marketing costs include conferences and trade shows, promotional and marketing activities, including direct and online marketing to the consumer and dermatologists, practice support programs, travel and training expenses.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anticipate that our selling and marketing expenses will increase as we continue to execute on our growth initiatives and expand our business in both the United States and internationally.</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General and Administrative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anticipate that our general and administrative expenses will remain similar to our fiscal year 2022 expenses.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Gain of Forgiveness of Debt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fiscal 2021, we recognized a gain on forgiveness of debt associated with our Paycheck Protection Program (“PPP”) loan.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Interest Expense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Interest expense consists of cash interest payable under our debt facilities and non-cash interest attributable to the amortization of deferred financing costs related to our indebtedness.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i/>
          <w:color w:val="000000"/>
          <w:sz w:val="20"/>
        </w:rPr>
      </w:pPr>
      <w:r>
        <w:rPr>
          <w:rFonts w:ascii="Times New Roman" w:hAnsi="Times New Roman"/>
          <w:i/>
          <w:color w:val="000000"/>
          <w:sz w:val="20"/>
        </w:rPr>
        <w:t>Interest Income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Interest income is earned on our cash and cash equivalent account balances.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Income Taxes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2022, we had federal and state NOL carryforwards of $198.1 million and $60.8 million, respectively. The net operating loss carryforwards generated prior to 2018 began to expire for federal income tax purposes and begin expiring in 2030 for state income tax purposes. Federal and many state net operating losses generated in 2018 and into the future now have an indefinite life.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Results of Operations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Comparison of the Years ended December 31, 2022 and 2021</w:t>
      </w:r>
    </w:p>
    <w:p>
      <w:pPr>
        <w:pStyle w:val="TextBody"/>
        <w:spacing w:before="0" w:after="0"/>
        <w:jc w:val="left"/>
        <w:rPr/>
      </w:pPr>
      <w:r>
        <w:rPr/>
      </w:r>
    </w:p>
    <w:tbl>
      <w:tblPr>
        <w:tblW w:w="7965" w:type="dxa"/>
        <w:jc w:val="left"/>
        <w:tblInd w:w="0" w:type="dxa"/>
        <w:tblCellMar>
          <w:top w:w="0" w:type="dxa"/>
          <w:left w:w="0" w:type="dxa"/>
          <w:bottom w:w="0" w:type="dxa"/>
          <w:right w:w="0" w:type="dxa"/>
        </w:tblCellMar>
      </w:tblPr>
      <w:tblGrid>
        <w:gridCol w:w="3650"/>
        <w:gridCol w:w="60"/>
        <w:gridCol w:w="140"/>
        <w:gridCol w:w="680"/>
        <w:gridCol w:w="95"/>
        <w:gridCol w:w="60"/>
        <w:gridCol w:w="140"/>
        <w:gridCol w:w="680"/>
        <w:gridCol w:w="95"/>
        <w:gridCol w:w="60"/>
        <w:gridCol w:w="140"/>
        <w:gridCol w:w="635"/>
        <w:gridCol w:w="95"/>
        <w:gridCol w:w="60"/>
        <w:gridCol w:w="133"/>
        <w:gridCol w:w="1012"/>
        <w:gridCol w:w="230"/>
      </w:tblGrid>
      <w:tr>
        <w:trPr/>
        <w:tc>
          <w:tcPr>
            <w:tcW w:w="365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79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6"/>
            <w:tcBorders>
              <w:bottom w:val="single" w:sz="12" w:space="0" w:color="000000"/>
            </w:tcBorders>
            <w:shd w:fill="auto" w:val="clear"/>
            <w:tcMar>
              <w:bottom w:w="28" w:type="dxa"/>
            </w:tcMar>
            <w:vAlign w:val="center"/>
          </w:tcPr>
          <w:p>
            <w:pPr>
              <w:pStyle w:val="TableContents"/>
              <w:spacing w:before="0" w:after="0"/>
              <w:jc w:val="center"/>
              <w:rPr>
                <w:b/>
              </w:rPr>
            </w:pPr>
            <w:r>
              <w:rPr>
                <w:b/>
              </w:rPr>
              <w:t>Change</w:t>
            </w:r>
          </w:p>
        </w:tc>
        <w:tc>
          <w:tcPr>
            <w:tcW w:w="230" w:type="dxa"/>
            <w:tcBorders/>
            <w:shd w:fill="auto" w:val="clear"/>
            <w:vAlign w:val="bottom"/>
          </w:tcPr>
          <w:p>
            <w:pPr>
              <w:pStyle w:val="TableContents"/>
              <w:spacing w:before="0" w:after="283"/>
              <w:rPr/>
            </w:pPr>
            <w:r>
              <w:rPr/>
              <w:t> </w:t>
            </w:r>
          </w:p>
        </w:tc>
      </w:tr>
      <w:tr>
        <w:trPr/>
        <w:tc>
          <w:tcPr>
            <w:tcW w:w="3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0"/>
              <w:jc w:val="center"/>
              <w:rPr>
                <w:b/>
              </w:rPr>
            </w:pPr>
            <w:r>
              <w:rPr>
                <w:b/>
              </w:rPr>
              <w:t>Dollar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rPr>
                <w:b/>
              </w:rPr>
            </w:pPr>
            <w:r>
              <w:rPr>
                <w:b/>
              </w:rPr>
              <w:t>Percentage</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rPr/>
            </w:pPr>
            <w:r>
              <w:rPr/>
              <w:t>Revenues, net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36,161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29,977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35" w:type="dxa"/>
            <w:tcBorders/>
            <w:shd w:fill="CCEEFF" w:val="clear"/>
            <w:vAlign w:val="bottom"/>
          </w:tcPr>
          <w:p>
            <w:pPr>
              <w:pStyle w:val="TableContents"/>
              <w:spacing w:before="0" w:after="0"/>
              <w:jc w:val="right"/>
              <w:rPr/>
            </w:pPr>
            <w:r>
              <w:rPr/>
              <w:t>6,184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21</w:t>
            </w:r>
          </w:p>
        </w:tc>
        <w:tc>
          <w:tcPr>
            <w:tcW w:w="230" w:type="dxa"/>
            <w:tcBorders/>
            <w:shd w:fill="CCEEFF" w:val="clear"/>
            <w:vAlign w:val="bottom"/>
          </w:tcPr>
          <w:p>
            <w:pPr>
              <w:pStyle w:val="TableContents"/>
              <w:spacing w:before="0" w:after="0"/>
              <w:rPr/>
            </w:pPr>
            <w:r>
              <w:rPr/>
              <w:t>%</w:t>
            </w:r>
          </w:p>
        </w:tc>
      </w:tr>
      <w:tr>
        <w:trPr/>
        <w:tc>
          <w:tcPr>
            <w:tcW w:w="3650" w:type="dxa"/>
            <w:tcBorders/>
            <w:shd w:fill="auto" w:val="clear"/>
            <w:vAlign w:val="bottom"/>
          </w:tcPr>
          <w:p>
            <w:pPr>
              <w:pStyle w:val="TableContents"/>
              <w:spacing w:before="0" w:after="0"/>
              <w:rPr/>
            </w:pPr>
            <w:r>
              <w:rPr/>
              <w:t>Cost of revenues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14,393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10,127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4,266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0"/>
              <w:jc w:val="right"/>
              <w:rPr/>
            </w:pPr>
            <w:r>
              <w:rPr/>
              <w:t>42</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ind w:left="180" w:right="0" w:hanging="0"/>
              <w:rPr/>
            </w:pPr>
            <w:r>
              <w:rPr/>
              <w:t>Gross profit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21,768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19,850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1,918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10</w:t>
            </w:r>
          </w:p>
        </w:tc>
        <w:tc>
          <w:tcPr>
            <w:tcW w:w="230" w:type="dxa"/>
            <w:tcBorders/>
            <w:shd w:fill="CCEEFF" w:val="clear"/>
            <w:vAlign w:val="bottom"/>
          </w:tcPr>
          <w:p>
            <w:pPr>
              <w:pStyle w:val="TableContents"/>
              <w:spacing w:before="0" w:after="283"/>
              <w:rPr/>
            </w:pPr>
            <w:r>
              <w:rPr/>
              <w:t> </w:t>
            </w:r>
          </w:p>
        </w:tc>
      </w:tr>
      <w:tr>
        <w:trPr/>
        <w:tc>
          <w:tcPr>
            <w:tcW w:w="3650" w:type="dxa"/>
            <w:tcBorders/>
            <w:shd w:fill="auto" w:val="clear"/>
            <w:vAlign w:val="bottom"/>
          </w:tcPr>
          <w:p>
            <w:pPr>
              <w:pStyle w:val="TableContents"/>
              <w:spacing w:before="0" w:after="0"/>
              <w:rPr/>
            </w:pPr>
            <w:r>
              <w:rPr/>
              <w:t>Operating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ind w:left="180" w:right="0" w:hanging="0"/>
              <w:rPr/>
            </w:pPr>
            <w:r>
              <w:rPr/>
              <w:t>Engineering and product development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1,029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pPr>
            <w:r>
              <w:rPr/>
              <w:t>(405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(28</w:t>
            </w:r>
          </w:p>
        </w:tc>
        <w:tc>
          <w:tcPr>
            <w:tcW w:w="230" w:type="dxa"/>
            <w:tcBorders/>
            <w:shd w:fill="CCEEFF" w:val="clear"/>
            <w:vAlign w:val="bottom"/>
          </w:tcPr>
          <w:p>
            <w:pPr>
              <w:pStyle w:val="TableContents"/>
              <w:spacing w:before="0" w:after="0"/>
              <w:rPr/>
            </w:pPr>
            <w:r>
              <w:rPr/>
              <w:t>)</w:t>
            </w:r>
          </w:p>
        </w:tc>
      </w:tr>
      <w:tr>
        <w:trPr/>
        <w:tc>
          <w:tcPr>
            <w:tcW w:w="3650" w:type="dxa"/>
            <w:tcBorders/>
            <w:shd w:fill="auto" w:val="clear"/>
            <w:vAlign w:val="bottom"/>
          </w:tcPr>
          <w:p>
            <w:pPr>
              <w:pStyle w:val="TableContents"/>
              <w:spacing w:before="0" w:after="0"/>
              <w:ind w:left="180" w:right="0" w:hanging="0"/>
              <w:rPr/>
            </w:pPr>
            <w:r>
              <w:rPr/>
              <w:t>Selling and marketing</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15,301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13,106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pPr>
            <w:r>
              <w:rPr/>
              <w:t>2,195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0"/>
              <w:jc w:val="right"/>
              <w:rPr/>
            </w:pPr>
            <w:r>
              <w:rPr/>
              <w:t>17</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ind w:left="180" w:right="0" w:hanging="0"/>
              <w:rPr/>
            </w:pPr>
            <w:r>
              <w:rPr/>
              <w:t>General and administrative</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10,087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9,712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375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4</w:t>
            </w:r>
          </w:p>
        </w:tc>
        <w:tc>
          <w:tcPr>
            <w:tcW w:w="230" w:type="dxa"/>
            <w:tcBorders/>
            <w:shd w:fill="CCEEFF" w:val="clear"/>
            <w:vAlign w:val="bottom"/>
          </w:tcPr>
          <w:p>
            <w:pPr>
              <w:pStyle w:val="TableContents"/>
              <w:spacing w:before="0" w:after="283"/>
              <w:rPr/>
            </w:pPr>
            <w:r>
              <w:rPr/>
              <w:t> </w:t>
            </w:r>
          </w:p>
        </w:tc>
      </w:tr>
      <w:tr>
        <w:trPr/>
        <w:tc>
          <w:tcPr>
            <w:tcW w:w="3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26,417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24,252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2,165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0"/>
              <w:jc w:val="right"/>
              <w:rPr/>
            </w:pPr>
            <w:r>
              <w:rPr/>
              <w:t>9</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rPr/>
            </w:pPr>
            <w:r>
              <w:rPr/>
              <w:t>Loss from operations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(4,649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(4,402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(247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6</w:t>
            </w:r>
          </w:p>
        </w:tc>
        <w:tc>
          <w:tcPr>
            <w:tcW w:w="230" w:type="dxa"/>
            <w:tcBorders/>
            <w:shd w:fill="CCEEFF" w:val="clear"/>
            <w:vAlign w:val="bottom"/>
          </w:tcPr>
          <w:p>
            <w:pPr>
              <w:pStyle w:val="TableContents"/>
              <w:spacing w:before="0" w:after="283"/>
              <w:rPr/>
            </w:pPr>
            <w:r>
              <w:rPr/>
              <w:t> </w:t>
            </w:r>
          </w:p>
        </w:tc>
      </w:tr>
      <w:tr>
        <w:trPr/>
        <w:tc>
          <w:tcPr>
            <w:tcW w:w="3650" w:type="dxa"/>
            <w:tcBorders/>
            <w:shd w:fill="auto" w:val="clear"/>
            <w:vAlign w:val="bottom"/>
          </w:tcPr>
          <w:p>
            <w:pPr>
              <w:pStyle w:val="TableContents"/>
              <w:spacing w:before="0" w:after="0"/>
              <w:rPr/>
            </w:pPr>
            <w:r>
              <w:rPr/>
              <w:t>Other (expense) income: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ind w:left="180" w:right="0" w:hanging="0"/>
              <w:rPr/>
            </w:pPr>
            <w:r>
              <w:rPr/>
              <w:t>Interest expense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(926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(314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5" w:type="dxa"/>
            <w:tcBorders/>
            <w:shd w:fill="CCEEFF" w:val="clear"/>
            <w:vAlign w:val="bottom"/>
          </w:tcPr>
          <w:p>
            <w:pPr>
              <w:pStyle w:val="TableContents"/>
              <w:spacing w:before="0" w:after="0"/>
              <w:jc w:val="right"/>
              <w:rPr/>
            </w:pPr>
            <w:r>
              <w:rPr/>
              <w:t>(612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(195</w:t>
            </w:r>
          </w:p>
        </w:tc>
        <w:tc>
          <w:tcPr>
            <w:tcW w:w="230" w:type="dxa"/>
            <w:tcBorders/>
            <w:shd w:fill="CCEEFF" w:val="clear"/>
            <w:vAlign w:val="bottom"/>
          </w:tcPr>
          <w:p>
            <w:pPr>
              <w:pStyle w:val="TableContents"/>
              <w:spacing w:before="0" w:after="0"/>
              <w:rPr/>
            </w:pPr>
            <w:r>
              <w:rPr/>
              <w:t>)</w:t>
            </w:r>
          </w:p>
        </w:tc>
      </w:tr>
      <w:tr>
        <w:trPr/>
        <w:tc>
          <w:tcPr>
            <w:tcW w:w="3650" w:type="dxa"/>
            <w:tcBorders/>
            <w:shd w:fill="auto" w:val="clear"/>
            <w:vAlign w:val="bottom"/>
          </w:tcPr>
          <w:p>
            <w:pPr>
              <w:pStyle w:val="TableContents"/>
              <w:spacing w:before="0" w:after="0"/>
              <w:ind w:left="180" w:right="0" w:hanging="0"/>
              <w:rPr/>
            </w:pPr>
            <w:r>
              <w:rPr/>
              <w:t>Interest income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89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pPr>
            <w:r>
              <w:rPr/>
              <w:t>74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0"/>
              <w:jc w:val="right"/>
              <w:rPr/>
            </w:pPr>
            <w:r>
              <w:rPr/>
              <w:t>493</w:t>
            </w:r>
          </w:p>
        </w:tc>
        <w:tc>
          <w:tcPr>
            <w:tcW w:w="230" w:type="dxa"/>
            <w:tcBorders/>
            <w:shd w:fill="auto" w:val="clear"/>
            <w:vAlign w:val="bottom"/>
          </w:tcPr>
          <w:p>
            <w:pPr>
              <w:pStyle w:val="TableContents"/>
              <w:spacing w:before="0" w:after="283"/>
              <w:rPr/>
            </w:pPr>
            <w:r>
              <w:rPr/>
              <w:t> </w:t>
            </w:r>
          </w:p>
        </w:tc>
      </w:tr>
      <w:tr>
        <w:trPr/>
        <w:tc>
          <w:tcPr>
            <w:tcW w:w="3650" w:type="dxa"/>
            <w:tcBorders/>
            <w:shd w:fill="CCEEFF" w:val="clear"/>
            <w:vAlign w:val="bottom"/>
          </w:tcPr>
          <w:p>
            <w:pPr>
              <w:pStyle w:val="TableContents"/>
              <w:spacing w:before="0" w:after="0"/>
              <w:ind w:left="180" w:right="0" w:hanging="0"/>
              <w:rPr/>
            </w:pPr>
            <w:r>
              <w:rPr/>
              <w:t>Gain on forgiveness of debt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2,029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(2,029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(100</w:t>
            </w:r>
          </w:p>
        </w:tc>
        <w:tc>
          <w:tcPr>
            <w:tcW w:w="230" w:type="dxa"/>
            <w:tcBorders/>
            <w:shd w:fill="CCEEFF" w:val="clear"/>
            <w:vAlign w:val="bottom"/>
          </w:tcPr>
          <w:p>
            <w:pPr>
              <w:pStyle w:val="TableContents"/>
              <w:spacing w:before="0" w:after="0"/>
              <w:rPr/>
            </w:pPr>
            <w:r>
              <w:rPr/>
              <w:t>)</w:t>
            </w:r>
          </w:p>
        </w:tc>
      </w:tr>
      <w:tr>
        <w:trPr/>
        <w:tc>
          <w:tcPr>
            <w:tcW w:w="36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(837</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1,730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(2,567</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0"/>
              <w:jc w:val="right"/>
              <w:rPr/>
            </w:pPr>
            <w:r>
              <w:rPr/>
              <w:t>(148</w:t>
            </w:r>
          </w:p>
        </w:tc>
        <w:tc>
          <w:tcPr>
            <w:tcW w:w="230" w:type="dxa"/>
            <w:tcBorders/>
            <w:shd w:fill="auto" w:val="clear"/>
            <w:vAlign w:val="bottom"/>
          </w:tcPr>
          <w:p>
            <w:pPr>
              <w:pStyle w:val="TableContents"/>
              <w:spacing w:before="0" w:after="0"/>
              <w:rPr/>
            </w:pPr>
            <w:r>
              <w:rPr/>
              <w:t>)</w:t>
            </w:r>
          </w:p>
        </w:tc>
      </w:tr>
      <w:tr>
        <w:trPr/>
        <w:tc>
          <w:tcPr>
            <w:tcW w:w="3650" w:type="dxa"/>
            <w:tcBorders/>
            <w:shd w:fill="CCEEFF" w:val="clear"/>
            <w:vAlign w:val="bottom"/>
          </w:tcPr>
          <w:p>
            <w:pPr>
              <w:pStyle w:val="TableContents"/>
              <w:spacing w:before="0" w:after="0"/>
              <w:rPr/>
            </w:pPr>
            <w:r>
              <w:rPr/>
              <w:t>Loss before income tax expense</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(5,486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(2,672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35" w:type="dxa"/>
            <w:tcBorders>
              <w:bottom w:val="double" w:sz="8" w:space="0" w:color="000000"/>
            </w:tcBorders>
            <w:shd w:fill="CCEEFF" w:val="clear"/>
            <w:tcMar>
              <w:bottom w:w="28" w:type="dxa"/>
            </w:tcMar>
            <w:vAlign w:val="bottom"/>
          </w:tcPr>
          <w:p>
            <w:pPr>
              <w:pStyle w:val="TableContents"/>
              <w:spacing w:before="0" w:after="0"/>
              <w:jc w:val="right"/>
              <w:rPr/>
            </w:pPr>
            <w:r>
              <w:rPr/>
              <w:t>(2,814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0"/>
              <w:jc w:val="right"/>
              <w:rPr/>
            </w:pPr>
            <w:r>
              <w:rPr/>
              <w:t>105</w:t>
            </w:r>
          </w:p>
        </w:tc>
        <w:tc>
          <w:tcPr>
            <w:tcW w:w="230"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i/>
          <w:color w:val="000000"/>
          <w:sz w:val="20"/>
        </w:rPr>
      </w:pPr>
      <w:r>
        <w:rPr>
          <w:rFonts w:ascii="Times New Roman" w:hAnsi="Times New Roman"/>
          <w:i/>
          <w:color w:val="000000"/>
          <w:sz w:val="20"/>
        </w:rPr>
        <w:t>Revenues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Revenues by Geography</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tables present revenues by geography for the periods presented below:</w:t>
      </w:r>
    </w:p>
    <w:p>
      <w:pPr>
        <w:pStyle w:val="TextBody"/>
        <w:spacing w:before="0" w:after="0"/>
        <w:jc w:val="left"/>
        <w:rPr/>
      </w:pPr>
      <w:r>
        <w:rPr/>
      </w:r>
    </w:p>
    <w:tbl>
      <w:tblPr>
        <w:tblW w:w="5655" w:type="dxa"/>
        <w:jc w:val="left"/>
        <w:tblInd w:w="0" w:type="dxa"/>
        <w:tblCellMar>
          <w:top w:w="0" w:type="dxa"/>
          <w:left w:w="0" w:type="dxa"/>
          <w:bottom w:w="0" w:type="dxa"/>
          <w:right w:w="0" w:type="dxa"/>
        </w:tblCellMar>
      </w:tblPr>
      <w:tblGrid>
        <w:gridCol w:w="1520"/>
        <w:gridCol w:w="60"/>
        <w:gridCol w:w="140"/>
        <w:gridCol w:w="680"/>
        <w:gridCol w:w="60"/>
        <w:gridCol w:w="60"/>
        <w:gridCol w:w="140"/>
        <w:gridCol w:w="680"/>
        <w:gridCol w:w="60"/>
        <w:gridCol w:w="60"/>
        <w:gridCol w:w="140"/>
        <w:gridCol w:w="560"/>
        <w:gridCol w:w="60"/>
        <w:gridCol w:w="60"/>
        <w:gridCol w:w="214"/>
        <w:gridCol w:w="931"/>
        <w:gridCol w:w="230"/>
      </w:tblGrid>
      <w:tr>
        <w:trPr/>
        <w:tc>
          <w:tcPr>
            <w:tcW w:w="152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5" w:type="dxa"/>
            <w:gridSpan w:val="6"/>
            <w:tcBorders>
              <w:bottom w:val="single" w:sz="12" w:space="0" w:color="000000"/>
            </w:tcBorders>
            <w:shd w:fill="auto" w:val="clear"/>
            <w:tcMar>
              <w:bottom w:w="28" w:type="dxa"/>
            </w:tcMar>
            <w:vAlign w:val="center"/>
          </w:tcPr>
          <w:p>
            <w:pPr>
              <w:pStyle w:val="TableContents"/>
              <w:spacing w:before="0" w:after="0"/>
              <w:jc w:val="center"/>
              <w:rPr>
                <w:b/>
              </w:rPr>
            </w:pPr>
            <w:r>
              <w:rPr>
                <w:b/>
              </w:rPr>
              <w:t>Change</w:t>
            </w:r>
          </w:p>
        </w:tc>
        <w:tc>
          <w:tcPr>
            <w:tcW w:w="230" w:type="dxa"/>
            <w:tcBorders/>
            <w:shd w:fill="auto" w:val="clear"/>
            <w:vAlign w:val="bottom"/>
          </w:tcPr>
          <w:p>
            <w:pPr>
              <w:pStyle w:val="TableContents"/>
              <w:spacing w:before="0" w:after="283"/>
              <w:rPr/>
            </w:pPr>
            <w:r>
              <w:rPr/>
              <w:t> </w:t>
            </w:r>
          </w:p>
        </w:tc>
      </w:tr>
      <w:tr>
        <w:trPr/>
        <w:tc>
          <w:tcPr>
            <w:tcW w:w="15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Dollar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rPr>
                <w:b/>
              </w:rPr>
            </w:pPr>
            <w:r>
              <w:rPr>
                <w:b/>
              </w:rPr>
              <w:t>Percentage</w:t>
            </w:r>
          </w:p>
        </w:tc>
        <w:tc>
          <w:tcPr>
            <w:tcW w:w="230" w:type="dxa"/>
            <w:tcBorders/>
            <w:shd w:fill="auto" w:val="clear"/>
            <w:vAlign w:val="bottom"/>
          </w:tcPr>
          <w:p>
            <w:pPr>
              <w:pStyle w:val="TableContents"/>
              <w:spacing w:before="0" w:after="283"/>
              <w:rPr/>
            </w:pPr>
            <w:r>
              <w:rPr/>
              <w:t> </w:t>
            </w:r>
          </w:p>
        </w:tc>
      </w:tr>
      <w:tr>
        <w:trPr/>
        <w:tc>
          <w:tcPr>
            <w:tcW w:w="1520" w:type="dxa"/>
            <w:tcBorders/>
            <w:shd w:fill="CCEEFF" w:val="clear"/>
            <w:vAlign w:val="bottom"/>
          </w:tcPr>
          <w:p>
            <w:pPr>
              <w:pStyle w:val="TableContents"/>
              <w:spacing w:before="0" w:after="0"/>
              <w:rPr/>
            </w:pPr>
            <w:r>
              <w:rPr/>
              <w:t>Domestic</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23,981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23,197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784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3</w:t>
            </w:r>
          </w:p>
        </w:tc>
        <w:tc>
          <w:tcPr>
            <w:tcW w:w="230" w:type="dxa"/>
            <w:tcBorders/>
            <w:shd w:fill="CCEEFF" w:val="clear"/>
            <w:vAlign w:val="bottom"/>
          </w:tcPr>
          <w:p>
            <w:pPr>
              <w:pStyle w:val="TableContents"/>
              <w:spacing w:before="0" w:after="0"/>
              <w:rPr/>
            </w:pPr>
            <w:r>
              <w:rPr/>
              <w:t>%</w:t>
            </w:r>
          </w:p>
        </w:tc>
      </w:tr>
      <w:tr>
        <w:trPr/>
        <w:tc>
          <w:tcPr>
            <w:tcW w:w="1520" w:type="dxa"/>
            <w:tcBorders/>
            <w:shd w:fill="auto" w:val="clear"/>
            <w:vAlign w:val="bottom"/>
          </w:tcPr>
          <w:p>
            <w:pPr>
              <w:pStyle w:val="TableContents"/>
              <w:spacing w:before="0" w:after="0"/>
              <w:rPr/>
            </w:pPr>
            <w:r>
              <w:rPr/>
              <w:t>International</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12,180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6,780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5,400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0"/>
              <w:jc w:val="right"/>
              <w:rPr/>
            </w:pPr>
            <w:r>
              <w:rPr/>
              <w:t>80</w:t>
            </w:r>
          </w:p>
        </w:tc>
        <w:tc>
          <w:tcPr>
            <w:tcW w:w="230" w:type="dxa"/>
            <w:tcBorders/>
            <w:shd w:fill="auto" w:val="clear"/>
            <w:vAlign w:val="bottom"/>
          </w:tcPr>
          <w:p>
            <w:pPr>
              <w:pStyle w:val="TableContents"/>
              <w:spacing w:before="0" w:after="283"/>
              <w:rPr/>
            </w:pPr>
            <w:r>
              <w:rPr/>
              <w:t> </w:t>
            </w:r>
          </w:p>
        </w:tc>
      </w:tr>
      <w:tr>
        <w:trPr/>
        <w:tc>
          <w:tcPr>
            <w:tcW w:w="1520" w:type="dxa"/>
            <w:tcBorders/>
            <w:shd w:fill="CCEEFF" w:val="clear"/>
            <w:vAlign w:val="bottom"/>
          </w:tcPr>
          <w:p>
            <w:pPr>
              <w:pStyle w:val="TableContents"/>
              <w:spacing w:before="0" w:after="0"/>
              <w:ind w:left="180" w:right="0" w:hanging="0"/>
              <w:rPr/>
            </w:pPr>
            <w:r>
              <w:rPr/>
              <w:t>Total Revenues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36,161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29,977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6,184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21</w:t>
            </w:r>
          </w:p>
        </w:tc>
        <w:tc>
          <w:tcPr>
            <w:tcW w:w="230"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Revenues by Product Type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tables present revenues by segment for the periods presented below:</w:t>
      </w:r>
    </w:p>
    <w:p>
      <w:pPr>
        <w:pStyle w:val="TextBody"/>
        <w:spacing w:before="0" w:after="0"/>
        <w:jc w:val="left"/>
        <w:rPr/>
      </w:pPr>
      <w:r>
        <w:rPr/>
      </w:r>
    </w:p>
    <w:tbl>
      <w:tblPr>
        <w:tblW w:w="6465" w:type="dxa"/>
        <w:jc w:val="left"/>
        <w:tblInd w:w="0" w:type="dxa"/>
        <w:tblCellMar>
          <w:top w:w="0" w:type="dxa"/>
          <w:left w:w="0" w:type="dxa"/>
          <w:bottom w:w="0" w:type="dxa"/>
          <w:right w:w="0" w:type="dxa"/>
        </w:tblCellMar>
      </w:tblPr>
      <w:tblGrid>
        <w:gridCol w:w="2330"/>
        <w:gridCol w:w="60"/>
        <w:gridCol w:w="140"/>
        <w:gridCol w:w="680"/>
        <w:gridCol w:w="60"/>
        <w:gridCol w:w="60"/>
        <w:gridCol w:w="140"/>
        <w:gridCol w:w="680"/>
        <w:gridCol w:w="60"/>
        <w:gridCol w:w="60"/>
        <w:gridCol w:w="140"/>
        <w:gridCol w:w="560"/>
        <w:gridCol w:w="60"/>
        <w:gridCol w:w="60"/>
        <w:gridCol w:w="214"/>
        <w:gridCol w:w="931"/>
        <w:gridCol w:w="230"/>
      </w:tblGrid>
      <w:tr>
        <w:trPr/>
        <w:tc>
          <w:tcPr>
            <w:tcW w:w="233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5" w:type="dxa"/>
            <w:gridSpan w:val="6"/>
            <w:tcBorders>
              <w:bottom w:val="single" w:sz="12" w:space="0" w:color="000000"/>
            </w:tcBorders>
            <w:shd w:fill="auto" w:val="clear"/>
            <w:tcMar>
              <w:bottom w:w="28" w:type="dxa"/>
            </w:tcMar>
            <w:vAlign w:val="center"/>
          </w:tcPr>
          <w:p>
            <w:pPr>
              <w:pStyle w:val="TableContents"/>
              <w:spacing w:before="0" w:after="0"/>
              <w:jc w:val="center"/>
              <w:rPr>
                <w:b/>
              </w:rPr>
            </w:pPr>
            <w:r>
              <w:rPr>
                <w:b/>
              </w:rPr>
              <w:t>Change</w:t>
            </w:r>
          </w:p>
        </w:tc>
        <w:tc>
          <w:tcPr>
            <w:tcW w:w="230" w:type="dxa"/>
            <w:tcBorders/>
            <w:shd w:fill="auto" w:val="clear"/>
            <w:vAlign w:val="bottom"/>
          </w:tcPr>
          <w:p>
            <w:pPr>
              <w:pStyle w:val="TableContents"/>
              <w:spacing w:before="0" w:after="283"/>
              <w:rPr/>
            </w:pPr>
            <w:r>
              <w:rPr/>
              <w:t> </w:t>
            </w:r>
          </w:p>
        </w:tc>
      </w:tr>
      <w:tr>
        <w:trPr/>
        <w:tc>
          <w:tcPr>
            <w:tcW w:w="2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Dollar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rPr>
                <w:b/>
              </w:rPr>
            </w:pPr>
            <w:r>
              <w:rPr>
                <w:b/>
              </w:rPr>
              <w:t>Percentage</w:t>
            </w:r>
          </w:p>
        </w:tc>
        <w:tc>
          <w:tcPr>
            <w:tcW w:w="230" w:type="dxa"/>
            <w:tcBorders/>
            <w:shd w:fill="auto" w:val="clear"/>
            <w:vAlign w:val="bottom"/>
          </w:tcPr>
          <w:p>
            <w:pPr>
              <w:pStyle w:val="TableContents"/>
              <w:spacing w:before="0" w:after="283"/>
              <w:rPr/>
            </w:pPr>
            <w:r>
              <w:rPr/>
              <w:t> </w:t>
            </w:r>
          </w:p>
        </w:tc>
      </w:tr>
      <w:tr>
        <w:trPr/>
        <w:tc>
          <w:tcPr>
            <w:tcW w:w="2330" w:type="dxa"/>
            <w:tcBorders/>
            <w:shd w:fill="CCEEFF" w:val="clear"/>
            <w:vAlign w:val="bottom"/>
          </w:tcPr>
          <w:p>
            <w:pPr>
              <w:pStyle w:val="TableContents"/>
              <w:spacing w:before="0" w:after="0"/>
              <w:rPr/>
            </w:pPr>
            <w:r>
              <w:rPr/>
              <w:t>Dermatology recurring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23,025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22,528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497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2</w:t>
            </w:r>
          </w:p>
        </w:tc>
        <w:tc>
          <w:tcPr>
            <w:tcW w:w="230" w:type="dxa"/>
            <w:tcBorders/>
            <w:shd w:fill="CCEEFF" w:val="clear"/>
            <w:vAlign w:val="bottom"/>
          </w:tcPr>
          <w:p>
            <w:pPr>
              <w:pStyle w:val="TableContents"/>
              <w:spacing w:before="0" w:after="0"/>
              <w:rPr/>
            </w:pPr>
            <w:r>
              <w:rPr/>
              <w:t>%</w:t>
            </w:r>
          </w:p>
        </w:tc>
      </w:tr>
      <w:tr>
        <w:trPr/>
        <w:tc>
          <w:tcPr>
            <w:tcW w:w="2330" w:type="dxa"/>
            <w:tcBorders/>
            <w:shd w:fill="auto" w:val="clear"/>
            <w:vAlign w:val="bottom"/>
          </w:tcPr>
          <w:p>
            <w:pPr>
              <w:pStyle w:val="TableContents"/>
              <w:spacing w:before="0" w:after="0"/>
              <w:rPr/>
            </w:pPr>
            <w:r>
              <w:rPr/>
              <w:t>Dermatology equipment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13,136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7,449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5,687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0"/>
              <w:jc w:val="right"/>
              <w:rPr/>
            </w:pPr>
            <w:r>
              <w:rPr/>
              <w:t>76</w:t>
            </w:r>
          </w:p>
        </w:tc>
        <w:tc>
          <w:tcPr>
            <w:tcW w:w="230" w:type="dxa"/>
            <w:tcBorders/>
            <w:shd w:fill="auto" w:val="clear"/>
            <w:vAlign w:val="bottom"/>
          </w:tcPr>
          <w:p>
            <w:pPr>
              <w:pStyle w:val="TableContents"/>
              <w:spacing w:before="0" w:after="283"/>
              <w:rPr/>
            </w:pPr>
            <w:r>
              <w:rPr/>
              <w:t> </w:t>
            </w:r>
          </w:p>
        </w:tc>
      </w:tr>
      <w:tr>
        <w:trPr/>
        <w:tc>
          <w:tcPr>
            <w:tcW w:w="2330" w:type="dxa"/>
            <w:tcBorders/>
            <w:shd w:fill="CCEEFF" w:val="clear"/>
            <w:vAlign w:val="bottom"/>
          </w:tcPr>
          <w:p>
            <w:pPr>
              <w:pStyle w:val="TableContents"/>
              <w:spacing w:before="0" w:after="0"/>
              <w:ind w:left="180" w:right="0" w:hanging="0"/>
              <w:rPr/>
            </w:pPr>
            <w:r>
              <w:rPr/>
              <w:t>Total Revenues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36,161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29,977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6,184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21</w:t>
            </w:r>
          </w:p>
        </w:tc>
        <w:tc>
          <w:tcPr>
            <w:tcW w:w="230"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Dermatology Recurring Procedures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ongoing COVID-19 pandemic has had a negative impact on our results for 2022 and 2021, and we expect it will continue to have a negative impact on revenue given the change in the behavior of our customers and the ultimate consumer of our products and services as a result of the pandemic. Recognized treatment revenue for the year ended December 31, 2022 was $23.0 million, which we estimate is approximately 329,000 treatments with prices between $65 and $95 per treatment, compared to recognized treatment revenue for the year ended December 31, 2021 of $22.5 million, which is approximately 321,000 treatments with prices between $65 and $95 per treatment.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have an impact on the prescribed use of XTRAC treatments for psoriasis and vitiligo patients. Specifically, we believe that there is a lack of awareness of the positive effects of XTRAC treatments among both sufferers and providers; and the treatment regimen, which can sometimes require up to 12 or more treatments, has limited XTRAC use to certain patient populations. Therefore, our strategy is to continue to execute a direct-to-patient program for XTRAC advertising in the United States, targeting psoriasis and vitiligo patients through a variety of media and through our use of social media such as Facebook and Twitter. We monitor the results of our advertising expenditures in this area to reach the more than 10 million patients in the United States we believe are afflicted with these diseases. Furthermore, we increased our presence at trade shows throughout the United States during 2022, and we held our national sales meeting for the first time since the onset of the COVID-19 pandemic during the second quarter of 2022.</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Revenues from dermatology recurring procedures are recognized as revenue over the estimated usage period of the agreed upon number of treatments, as the treatments are being used. As of December 31, 2022 and 2021, we deferred domestic net revenues of $2.2 million and $1.9 million, respectively, which will be recognized as revenue over the remaining usage period for the related placements.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Dermatology Procedures Equipment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ongoing COVID-19 pandemic has had a negative impact on our results for 2022 and 2021, and we expect it will continue to have a negative impact on revenue given the change in the behavior of our customers and the ultimate consumer of our products and services as a result of the pandemic. For the year ended December 31, 2022, dermatology procedures equipment revenues were $13.1 million. Internationally, we sold 100 systems (88 XTRAC and 12 VTRAC). Domestically, we sold 7 XTRAC systems for the year ended December 31, 2022.</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For the year ended December 31, 2021, dermatology procedures equipment revenues were $7.5 million. Internationally, we sold 38 systems (30 XTRAC and 8 VTRAC).</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Cost of Revenues and Gross Profit</w:t>
      </w:r>
    </w:p>
    <w:p>
      <w:pPr>
        <w:pStyle w:val="TextBody"/>
        <w:spacing w:before="0" w:after="0"/>
        <w:jc w:val="left"/>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tables present changes in our gross margin, by segment, for the periods presented below:</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Dermatology Recurring Procedures</w:t>
      </w:r>
    </w:p>
    <w:p>
      <w:pPr>
        <w:pStyle w:val="TextBody"/>
        <w:spacing w:before="0" w:after="0"/>
        <w:jc w:val="left"/>
        <w:rPr>
          <w:b/>
          <w:i/>
          <w:color w:val="000000"/>
        </w:rPr>
      </w:pPr>
      <w:r>
        <w:rPr>
          <w:b/>
          <w:i/>
          <w:color w:val="000000"/>
        </w:rPr>
      </w:r>
    </w:p>
    <w:tbl>
      <w:tblPr>
        <w:tblW w:w="6870" w:type="dxa"/>
        <w:jc w:val="left"/>
        <w:tblInd w:w="0" w:type="dxa"/>
        <w:tblCellMar>
          <w:top w:w="0" w:type="dxa"/>
          <w:left w:w="0" w:type="dxa"/>
          <w:bottom w:w="0" w:type="dxa"/>
          <w:right w:w="0" w:type="dxa"/>
        </w:tblCellMar>
      </w:tblPr>
      <w:tblGrid>
        <w:gridCol w:w="2240"/>
        <w:gridCol w:w="60"/>
        <w:gridCol w:w="140"/>
        <w:gridCol w:w="680"/>
        <w:gridCol w:w="215"/>
        <w:gridCol w:w="60"/>
        <w:gridCol w:w="140"/>
        <w:gridCol w:w="680"/>
        <w:gridCol w:w="215"/>
        <w:gridCol w:w="60"/>
        <w:gridCol w:w="140"/>
        <w:gridCol w:w="635"/>
        <w:gridCol w:w="95"/>
        <w:gridCol w:w="60"/>
        <w:gridCol w:w="214"/>
        <w:gridCol w:w="931"/>
        <w:gridCol w:w="305"/>
      </w:tblGrid>
      <w:tr>
        <w:trPr/>
        <w:tc>
          <w:tcPr>
            <w:tcW w:w="224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91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6"/>
            <w:tcBorders>
              <w:bottom w:val="single" w:sz="12" w:space="0" w:color="000000"/>
            </w:tcBorders>
            <w:shd w:fill="auto" w:val="clear"/>
            <w:tcMar>
              <w:bottom w:w="28" w:type="dxa"/>
            </w:tcMar>
            <w:vAlign w:val="center"/>
          </w:tcPr>
          <w:p>
            <w:pPr>
              <w:pStyle w:val="TableContents"/>
              <w:spacing w:before="0" w:after="0"/>
              <w:jc w:val="center"/>
              <w:rPr>
                <w:b/>
              </w:rPr>
            </w:pPr>
            <w:r>
              <w:rPr>
                <w:b/>
              </w:rPr>
              <w:t>Change</w:t>
            </w:r>
          </w:p>
        </w:tc>
        <w:tc>
          <w:tcPr>
            <w:tcW w:w="305" w:type="dxa"/>
            <w:tcBorders/>
            <w:shd w:fill="auto"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0"/>
              <w:jc w:val="center"/>
              <w:rPr>
                <w:b/>
              </w:rPr>
            </w:pPr>
            <w:r>
              <w:rPr>
                <w:b/>
              </w:rPr>
              <w:t>Dollar</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rPr>
                <w:b/>
              </w:rPr>
            </w:pPr>
            <w:r>
              <w:rPr>
                <w:b/>
              </w:rPr>
              <w:t>Percentage</w:t>
            </w:r>
          </w:p>
        </w:tc>
        <w:tc>
          <w:tcPr>
            <w:tcW w:w="305"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rPr/>
            </w:pPr>
            <w:r>
              <w:rPr/>
              <w:t>Revenues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23,025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22,528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35" w:type="dxa"/>
            <w:tcBorders/>
            <w:shd w:fill="CCEEFF" w:val="clear"/>
            <w:vAlign w:val="bottom"/>
          </w:tcPr>
          <w:p>
            <w:pPr>
              <w:pStyle w:val="TableContents"/>
              <w:spacing w:before="0" w:after="0"/>
              <w:jc w:val="right"/>
              <w:rPr/>
            </w:pPr>
            <w:r>
              <w:rPr/>
              <w:t>497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2</w:t>
            </w:r>
          </w:p>
        </w:tc>
        <w:tc>
          <w:tcPr>
            <w:tcW w:w="305" w:type="dxa"/>
            <w:tcBorders/>
            <w:shd w:fill="CCEEFF" w:val="clear"/>
            <w:vAlign w:val="bottom"/>
          </w:tcPr>
          <w:p>
            <w:pPr>
              <w:pStyle w:val="TableContents"/>
              <w:spacing w:before="0" w:after="0"/>
              <w:rPr/>
            </w:pPr>
            <w:r>
              <w:rPr/>
              <w:t>%</w:t>
            </w:r>
          </w:p>
        </w:tc>
      </w:tr>
      <w:tr>
        <w:trPr/>
        <w:tc>
          <w:tcPr>
            <w:tcW w:w="2240" w:type="dxa"/>
            <w:tcBorders/>
            <w:shd w:fill="auto" w:val="clear"/>
            <w:vAlign w:val="bottom"/>
          </w:tcPr>
          <w:p>
            <w:pPr>
              <w:pStyle w:val="TableContents"/>
              <w:spacing w:before="0" w:after="0"/>
              <w:rPr/>
            </w:pPr>
            <w:r>
              <w:rPr/>
              <w:t>Cost of revenues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8,371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6,418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1,953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0"/>
              <w:jc w:val="right"/>
              <w:rPr/>
            </w:pPr>
            <w:r>
              <w:rPr/>
              <w:t>30</w:t>
            </w:r>
          </w:p>
        </w:tc>
        <w:tc>
          <w:tcPr>
            <w:tcW w:w="305"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180" w:right="0" w:hanging="0"/>
              <w:rPr/>
            </w:pPr>
            <w:r>
              <w:rPr/>
              <w:t>Gross profit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14,654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16,110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35" w:type="dxa"/>
            <w:tcBorders>
              <w:bottom w:val="double" w:sz="8" w:space="0" w:color="000000"/>
            </w:tcBorders>
            <w:shd w:fill="CCEEFF" w:val="clear"/>
            <w:tcMar>
              <w:bottom w:w="28" w:type="dxa"/>
            </w:tcMar>
            <w:vAlign w:val="bottom"/>
          </w:tcPr>
          <w:p>
            <w:pPr>
              <w:pStyle w:val="TableContents"/>
              <w:spacing w:before="0" w:after="0"/>
              <w:jc w:val="right"/>
              <w:rPr/>
            </w:pPr>
            <w:r>
              <w:rPr/>
              <w:t>(1,456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(9</w:t>
            </w:r>
          </w:p>
        </w:tc>
        <w:tc>
          <w:tcPr>
            <w:tcW w:w="305" w:type="dxa"/>
            <w:tcBorders/>
            <w:shd w:fill="CCEEFF" w:val="clear"/>
            <w:vAlign w:val="bottom"/>
          </w:tcPr>
          <w:p>
            <w:pPr>
              <w:pStyle w:val="TableContents"/>
              <w:spacing w:before="0" w:after="0"/>
              <w:rPr/>
            </w:pPr>
            <w:r>
              <w:rPr/>
              <w:t>)%</w:t>
            </w:r>
          </w:p>
        </w:tc>
      </w:tr>
      <w:tr>
        <w:trPr/>
        <w:tc>
          <w:tcPr>
            <w:tcW w:w="2240" w:type="dxa"/>
            <w:tcBorders/>
            <w:shd w:fill="auto" w:val="clear"/>
            <w:vAlign w:val="bottom"/>
          </w:tcPr>
          <w:p>
            <w:pPr>
              <w:pStyle w:val="TableContents"/>
              <w:spacing w:before="0" w:after="0"/>
              <w:ind w:left="180" w:right="0" w:hanging="0"/>
              <w:rPr/>
            </w:pPr>
            <w:r>
              <w:rPr/>
              <w:t>Gross profit percentage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63.6</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71.5</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 </w:t>
            </w:r>
          </w:p>
        </w:tc>
        <w:tc>
          <w:tcPr>
            <w:tcW w:w="30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primary reasons for the decrease in gross profit for the year ended December 31, 2022 were higher amortization of intangible assets due to the Pharos and TheraClear asset acquisitions and higher depreciation expenses and labor costs in 2022 compared to 2021, partially offset by higher recurring procedures sales.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Dermatology Procedures Equipment</w:t>
      </w:r>
    </w:p>
    <w:tbl>
      <w:tblPr>
        <w:tblW w:w="6565" w:type="dxa"/>
        <w:jc w:val="left"/>
        <w:tblInd w:w="0" w:type="dxa"/>
        <w:tblCellMar>
          <w:top w:w="0" w:type="dxa"/>
          <w:left w:w="0" w:type="dxa"/>
          <w:bottom w:w="0" w:type="dxa"/>
          <w:right w:w="0" w:type="dxa"/>
        </w:tblCellMar>
      </w:tblPr>
      <w:tblGrid>
        <w:gridCol w:w="2240"/>
        <w:gridCol w:w="60"/>
        <w:gridCol w:w="140"/>
        <w:gridCol w:w="680"/>
        <w:gridCol w:w="215"/>
        <w:gridCol w:w="60"/>
        <w:gridCol w:w="140"/>
        <w:gridCol w:w="560"/>
        <w:gridCol w:w="215"/>
        <w:gridCol w:w="60"/>
        <w:gridCol w:w="140"/>
        <w:gridCol w:w="560"/>
        <w:gridCol w:w="60"/>
        <w:gridCol w:w="60"/>
        <w:gridCol w:w="214"/>
        <w:gridCol w:w="931"/>
        <w:gridCol w:w="230"/>
      </w:tblGrid>
      <w:tr>
        <w:trPr/>
        <w:tc>
          <w:tcPr>
            <w:tcW w:w="224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79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65" w:type="dxa"/>
            <w:gridSpan w:val="6"/>
            <w:tcBorders>
              <w:bottom w:val="single" w:sz="12" w:space="0" w:color="000000"/>
            </w:tcBorders>
            <w:shd w:fill="auto" w:val="clear"/>
            <w:tcMar>
              <w:bottom w:w="28" w:type="dxa"/>
            </w:tcMar>
            <w:vAlign w:val="center"/>
          </w:tcPr>
          <w:p>
            <w:pPr>
              <w:pStyle w:val="TableContents"/>
              <w:spacing w:before="0" w:after="0"/>
              <w:jc w:val="center"/>
              <w:rPr>
                <w:b/>
              </w:rPr>
            </w:pPr>
            <w:r>
              <w:rPr>
                <w:b/>
              </w:rPr>
              <w:t>Change</w:t>
            </w:r>
          </w:p>
        </w:tc>
        <w:tc>
          <w:tcPr>
            <w:tcW w:w="230" w:type="dxa"/>
            <w:tcBorders/>
            <w:shd w:fill="auto" w:val="clear"/>
            <w:vAlign w:val="bottom"/>
          </w:tcPr>
          <w:p>
            <w:pPr>
              <w:pStyle w:val="TableContents"/>
              <w:spacing w:before="0" w:after="283"/>
              <w:rPr/>
            </w:pPr>
            <w:r>
              <w:rPr/>
              <w:t> </w:t>
            </w:r>
          </w:p>
        </w:tc>
      </w:tr>
      <w:tr>
        <w:trPr/>
        <w:tc>
          <w:tcPr>
            <w:tcW w:w="22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0"/>
              <w:jc w:val="center"/>
              <w:rPr>
                <w:b/>
              </w:rPr>
            </w:pPr>
            <w:r>
              <w:rPr>
                <w:b/>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2021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Dollar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0"/>
              <w:rPr>
                <w:b/>
              </w:rPr>
            </w:pPr>
            <w:r>
              <w:rPr>
                <w:b/>
              </w:rPr>
              <w:t>Percentage</w:t>
            </w:r>
          </w:p>
        </w:tc>
        <w:tc>
          <w:tcPr>
            <w:tcW w:w="230"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rPr/>
            </w:pPr>
            <w:r>
              <w:rPr/>
              <w:t>Revenues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13,136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7,449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5,687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76</w:t>
            </w:r>
          </w:p>
        </w:tc>
        <w:tc>
          <w:tcPr>
            <w:tcW w:w="230" w:type="dxa"/>
            <w:tcBorders/>
            <w:shd w:fill="CCEEFF" w:val="clear"/>
            <w:vAlign w:val="bottom"/>
          </w:tcPr>
          <w:p>
            <w:pPr>
              <w:pStyle w:val="TableContents"/>
              <w:spacing w:before="0" w:after="0"/>
              <w:rPr/>
            </w:pPr>
            <w:r>
              <w:rPr/>
              <w:t>%</w:t>
            </w:r>
          </w:p>
        </w:tc>
      </w:tr>
      <w:tr>
        <w:trPr/>
        <w:tc>
          <w:tcPr>
            <w:tcW w:w="2240" w:type="dxa"/>
            <w:tcBorders/>
            <w:shd w:fill="auto" w:val="clear"/>
            <w:vAlign w:val="bottom"/>
          </w:tcPr>
          <w:p>
            <w:pPr>
              <w:pStyle w:val="TableContents"/>
              <w:spacing w:before="0" w:after="0"/>
              <w:rPr/>
            </w:pPr>
            <w:r>
              <w:rPr/>
              <w:t>Cost of revenues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6,022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3,709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2,313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0"/>
              <w:jc w:val="right"/>
              <w:rPr/>
            </w:pPr>
            <w:r>
              <w:rPr/>
              <w:t>62</w:t>
            </w:r>
          </w:p>
        </w:tc>
        <w:tc>
          <w:tcPr>
            <w:tcW w:w="230" w:type="dxa"/>
            <w:tcBorders/>
            <w:shd w:fill="auto" w:val="clear"/>
            <w:vAlign w:val="bottom"/>
          </w:tcPr>
          <w:p>
            <w:pPr>
              <w:pStyle w:val="TableContents"/>
              <w:spacing w:before="0" w:after="283"/>
              <w:rPr/>
            </w:pPr>
            <w:r>
              <w:rPr/>
              <w:t> </w:t>
            </w:r>
          </w:p>
        </w:tc>
      </w:tr>
      <w:tr>
        <w:trPr/>
        <w:tc>
          <w:tcPr>
            <w:tcW w:w="2240" w:type="dxa"/>
            <w:tcBorders/>
            <w:shd w:fill="CCEEFF" w:val="clear"/>
            <w:vAlign w:val="bottom"/>
          </w:tcPr>
          <w:p>
            <w:pPr>
              <w:pStyle w:val="TableContents"/>
              <w:spacing w:before="0" w:after="0"/>
              <w:ind w:left="180" w:right="0" w:hanging="0"/>
              <w:rPr/>
            </w:pPr>
            <w:r>
              <w:rPr/>
              <w:t>Gross profit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7,114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3,740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3,374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0"/>
              <w:jc w:val="right"/>
              <w:rPr/>
            </w:pPr>
            <w:r>
              <w:rPr/>
              <w:t>90</w:t>
            </w:r>
          </w:p>
        </w:tc>
        <w:tc>
          <w:tcPr>
            <w:tcW w:w="230" w:type="dxa"/>
            <w:tcBorders/>
            <w:shd w:fill="CCEEFF" w:val="clear"/>
            <w:vAlign w:val="bottom"/>
          </w:tcPr>
          <w:p>
            <w:pPr>
              <w:pStyle w:val="TableContents"/>
              <w:spacing w:before="0" w:after="0"/>
              <w:rPr/>
            </w:pPr>
            <w:r>
              <w:rPr/>
              <w:t>%</w:t>
            </w:r>
          </w:p>
        </w:tc>
      </w:tr>
      <w:tr>
        <w:trPr/>
        <w:tc>
          <w:tcPr>
            <w:tcW w:w="2240" w:type="dxa"/>
            <w:tcBorders/>
            <w:shd w:fill="auto" w:val="clear"/>
            <w:vAlign w:val="bottom"/>
          </w:tcPr>
          <w:p>
            <w:pPr>
              <w:pStyle w:val="TableContents"/>
              <w:spacing w:before="0" w:after="0"/>
              <w:ind w:left="180" w:right="0" w:hanging="0"/>
              <w:rPr/>
            </w:pPr>
            <w:r>
              <w:rPr/>
              <w:t>Gross profit percentage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54.2</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50.2</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The primary reasons for the increase in gross profit for the year ended December 31, 2022 were a change in product mix resulting in greater sales of equipment with higher sales margins and recognition of deferred service revenue associated with assumed service contracts from Ra Medical, partially offset by higher amortization of intangible assets due to the Pharos and TheraClear asset acquisitions.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Engineering and Product Development</w:t>
      </w:r>
    </w:p>
    <w:p>
      <w:pPr>
        <w:pStyle w:val="TextBody"/>
        <w:spacing w:before="0" w:after="0"/>
        <w:jc w:val="left"/>
        <w:rPr/>
      </w:pPr>
      <w:r>
        <w:rPr/>
      </w:r>
    </w:p>
    <w:p>
      <w:pPr>
        <w:pStyle w:val="TextBody"/>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For the year ended December 31, 2022, engineering and product development expenses were $1.0 million as compared to $1.4 million for the year ended December 31, 2021. Engineering and product development costs during the year ended December 31, 2022 were lower primarily as a result of reduction of costs incurred in connection with developing XTRAC MomentumTM 1.0, our next generation excimer laser system that was commercially launched in February 2022.</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Selling and Marketing</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2022, our sales and marketing personnel consisted of 63 full-time positions, inclusive of a vice president of sales, a vice president of marketing and a vice president of relations, direct sales organization as well as an in-house call center staffed with patient advocates and a reimbursement group that provides necessary insurance information to our physician partners and their patients.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For the year ended December 31, 2022, sales and marketing expenses were $15.3 million as compared to $13.1 million for the year ended December 31, 2021. Sales and marketing expenses for the year ended December 31, 2022 were higher, as compared to the same period in 2021, primarily due to investments we made in sales and marketing and direct-to-consumer and dermatologists advertising, as well as increased head count and employee-related expenses. Additionally, increased spending consisted of our national sales meeting and increased attendance at trade shows.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General and Administrative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For the year ended December 31, 2022, general and administrative expenses increased to $10.1 million from $9.7 million for the year ended December 31, 2021. General and administrative expenses were higher for the year ended December 31, 2022, as compared to the same period in 2021. The increase is primarily due to higher consulting services, including legal and professional services, offset by higher compensation, severance and recruiting expenses incurred during the first quarter of 2021 as a result of the CEO transition.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Gain on Forgiveness of Debt</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During the year ended December 31, 2021, we received notification our PPP loan had been forgiven and we recorded a gain on forgiveness of debt of $2.0 million.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Interest Expense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Interest expense is primarily attributable to our debt obligations. For the year ended December 31, 2022, interest expense increased to $1.0 million from $0.3 million for the year ended December 31, 2021. The increase is primarily the result of a higher interest rate on the Senior Term Facility entered into in September 2021.</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Interest Income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Interest income relates to the interest we receive on our cash, cash equivalents and restricted cash held with financial institutions.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Income Tax Expense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recognized an income tax expense of $0.1 million for the year ended December 31, 2022 as compared to $34 thousand for the year ended December 31, 2021, which is comprised primarily of changes in deferred tax liability related to goodwill.</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Non-GAAP Financial Measures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determined to supplement our consolidated financial statements, prepared in accordance with accounting principles generally accepted in the United States of America (“U.S. GAAP”), presented elsewhere within this report, with certain non-GAAP measures of financial performance. These non-GAAP measures include non-GAAP gross profit, which excludes the non-cash expense of amortization of acquired intangible assets classified as cost of revenues, and non-GAAP adjusted EBITDA, “Earnings Before Interest, Taxes, Depreciation, and Amortization.”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These non-GAAP disclosures have limitations as an analytical tool, should not be viewed as a substitute for Gross Profit or Net Earnings (Loss) determined in accordance with U.S. GAAP, should not be considered in isolation or as a substitute for analysis of our results as reported under U.S. GAAP, nor are they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the Company’s future results will be unaffected by similar adjustments to Gross Profit or Net Earnings (Loss) determined in accordance with U.S. GAAP. 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Reconciliation to the most directly comparable U.S. GAAP measure of all non-GAAP measures included in this report is as follows:</w:t>
      </w:r>
    </w:p>
    <w:p>
      <w:pPr>
        <w:pStyle w:val="TextBody"/>
        <w:spacing w:before="0" w:after="0"/>
        <w:jc w:val="left"/>
        <w:rPr/>
      </w:pPr>
      <w:r>
        <w:rPr/>
      </w:r>
    </w:p>
    <w:tbl>
      <w:tblPr>
        <w:tblW w:w="6200" w:type="dxa"/>
        <w:jc w:val="left"/>
        <w:tblInd w:w="0" w:type="dxa"/>
        <w:tblCellMar>
          <w:top w:w="0" w:type="dxa"/>
          <w:left w:w="0" w:type="dxa"/>
          <w:bottom w:w="0" w:type="dxa"/>
          <w:right w:w="0" w:type="dxa"/>
        </w:tblCellMar>
      </w:tblPr>
      <w:tblGrid>
        <w:gridCol w:w="3995"/>
        <w:gridCol w:w="60"/>
        <w:gridCol w:w="140"/>
        <w:gridCol w:w="680"/>
        <w:gridCol w:w="215"/>
        <w:gridCol w:w="60"/>
        <w:gridCol w:w="140"/>
        <w:gridCol w:w="680"/>
        <w:gridCol w:w="230"/>
      </w:tblGrid>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230" w:type="dxa"/>
            <w:tcBorders/>
            <w:shd w:fill="auto" w:val="clear"/>
            <w:vAlign w:val="bottom"/>
          </w:tcPr>
          <w:p>
            <w:pPr>
              <w:pStyle w:val="TableContents"/>
              <w:spacing w:before="0" w:after="283"/>
              <w:rPr/>
            </w:pPr>
            <w:r>
              <w:rPr/>
              <w:t> </w:t>
            </w:r>
          </w:p>
        </w:tc>
      </w:tr>
      <w:tr>
        <w:trPr/>
        <w:tc>
          <w:tcPr>
            <w:tcW w:w="3995"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230" w:type="dxa"/>
            <w:tcBorders/>
            <w:shd w:fill="auto" w:val="clear"/>
            <w:vAlign w:val="bottom"/>
          </w:tcPr>
          <w:p>
            <w:pPr>
              <w:pStyle w:val="TableContents"/>
              <w:spacing w:before="0" w:after="283"/>
              <w:rPr/>
            </w:pPr>
            <w:r>
              <w:rPr/>
              <w:t> </w:t>
            </w:r>
          </w:p>
        </w:tc>
      </w:tr>
      <w:tr>
        <w:trPr/>
        <w:tc>
          <w:tcPr>
            <w:tcW w:w="3995" w:type="dxa"/>
            <w:tcBorders/>
            <w:shd w:fill="CCEEFF" w:val="clear"/>
            <w:vAlign w:val="bottom"/>
          </w:tcPr>
          <w:p>
            <w:pPr>
              <w:pStyle w:val="TableContents"/>
              <w:spacing w:before="0" w:after="0"/>
              <w:rPr>
                <w:b/>
              </w:rPr>
            </w:pPr>
            <w:r>
              <w:rPr>
                <w:b/>
              </w:rPr>
              <w:t>Gross Profit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21,768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19,850</w:t>
            </w:r>
          </w:p>
        </w:tc>
        <w:tc>
          <w:tcPr>
            <w:tcW w:w="230" w:type="dxa"/>
            <w:tcBorders/>
            <w:shd w:fill="CCEEFF" w:val="clear"/>
            <w:vAlign w:val="bottom"/>
          </w:tcPr>
          <w:p>
            <w:pPr>
              <w:pStyle w:val="TableContents"/>
              <w:spacing w:before="0" w:after="283"/>
              <w:rPr/>
            </w:pPr>
            <w:r>
              <w:rPr/>
              <w:t> </w:t>
            </w:r>
          </w:p>
        </w:tc>
      </w:tr>
      <w:tr>
        <w:trPr/>
        <w:tc>
          <w:tcPr>
            <w:tcW w:w="3995" w:type="dxa"/>
            <w:tcBorders/>
            <w:shd w:fill="auto" w:val="clear"/>
            <w:vAlign w:val="bottom"/>
          </w:tcPr>
          <w:p>
            <w:pPr>
              <w:pStyle w:val="TableContents"/>
              <w:spacing w:before="0" w:after="0"/>
              <w:ind w:left="180" w:right="0" w:hanging="0"/>
              <w:rPr/>
            </w:pPr>
            <w:r>
              <w:rPr/>
              <w:t>Amortization of acquired intangible assets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2,031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570</w:t>
            </w:r>
          </w:p>
        </w:tc>
        <w:tc>
          <w:tcPr>
            <w:tcW w:w="230" w:type="dxa"/>
            <w:tcBorders/>
            <w:shd w:fill="auto" w:val="clear"/>
            <w:vAlign w:val="bottom"/>
          </w:tcPr>
          <w:p>
            <w:pPr>
              <w:pStyle w:val="TableContents"/>
              <w:spacing w:before="0" w:after="283"/>
              <w:rPr/>
            </w:pPr>
            <w:r>
              <w:rPr/>
              <w:t> </w:t>
            </w:r>
          </w:p>
        </w:tc>
      </w:tr>
      <w:tr>
        <w:trPr/>
        <w:tc>
          <w:tcPr>
            <w:tcW w:w="3995" w:type="dxa"/>
            <w:tcBorders/>
            <w:shd w:fill="CCEEFF" w:val="clear"/>
            <w:vAlign w:val="bottom"/>
          </w:tcPr>
          <w:p>
            <w:pPr>
              <w:pStyle w:val="TableContents"/>
              <w:spacing w:before="0" w:after="0"/>
              <w:rPr>
                <w:b/>
              </w:rPr>
            </w:pPr>
            <w:r>
              <w:rPr>
                <w:b/>
              </w:rPr>
              <w:t>Non-GAAP gross profit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23,799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20,420</w:t>
            </w:r>
          </w:p>
        </w:tc>
        <w:tc>
          <w:tcPr>
            <w:tcW w:w="230" w:type="dxa"/>
            <w:tcBorders/>
            <w:shd w:fill="CCEEFF" w:val="clear"/>
            <w:vAlign w:val="bottom"/>
          </w:tcPr>
          <w:p>
            <w:pPr>
              <w:pStyle w:val="TableContents"/>
              <w:spacing w:before="0" w:after="283"/>
              <w:rPr/>
            </w:pPr>
            <w:r>
              <w:rPr/>
              <w:t> </w:t>
            </w:r>
          </w:p>
        </w:tc>
      </w:tr>
      <w:tr>
        <w:trPr/>
        <w:tc>
          <w:tcPr>
            <w:tcW w:w="3995" w:type="dxa"/>
            <w:tcBorders/>
            <w:shd w:fill="auto" w:val="clear"/>
            <w:vAlign w:val="bottom"/>
          </w:tcPr>
          <w:p>
            <w:pPr>
              <w:pStyle w:val="TableContents"/>
              <w:spacing w:before="0" w:after="0"/>
              <w:ind w:left="180" w:right="0" w:hanging="0"/>
              <w:rPr/>
            </w:pPr>
            <w:r>
              <w:rPr/>
              <w:t>Gross profit percentage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60.2</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66.2</w:t>
            </w:r>
          </w:p>
        </w:tc>
        <w:tc>
          <w:tcPr>
            <w:tcW w:w="230" w:type="dxa"/>
            <w:tcBorders/>
            <w:shd w:fill="auto" w:val="clear"/>
            <w:vAlign w:val="bottom"/>
          </w:tcPr>
          <w:p>
            <w:pPr>
              <w:pStyle w:val="TableContents"/>
              <w:spacing w:before="0" w:after="0"/>
              <w:rPr/>
            </w:pPr>
            <w:r>
              <w:rPr/>
              <w:t>%</w:t>
            </w:r>
          </w:p>
        </w:tc>
      </w:tr>
      <w:tr>
        <w:trPr/>
        <w:tc>
          <w:tcPr>
            <w:tcW w:w="3995" w:type="dxa"/>
            <w:tcBorders/>
            <w:shd w:fill="CCEEFF" w:val="clear"/>
            <w:vAlign w:val="bottom"/>
          </w:tcPr>
          <w:p>
            <w:pPr>
              <w:pStyle w:val="TableContents"/>
              <w:spacing w:before="0" w:after="0"/>
              <w:ind w:left="180" w:right="0" w:hanging="0"/>
              <w:rPr/>
            </w:pPr>
            <w:r>
              <w:rPr/>
              <w:t>Non-GAAP gross profit percentage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65.8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68.1</w:t>
            </w:r>
          </w:p>
        </w:tc>
        <w:tc>
          <w:tcPr>
            <w:tcW w:w="230" w:type="dxa"/>
            <w:tcBorders/>
            <w:shd w:fill="CCEEFF" w:val="clear"/>
            <w:vAlign w:val="bottom"/>
          </w:tcPr>
          <w:p>
            <w:pPr>
              <w:pStyle w:val="TableContents"/>
              <w:spacing w:before="0" w:after="0"/>
              <w:rPr/>
            </w:pPr>
            <w:r>
              <w:rPr/>
              <w:t>%</w:t>
            </w:r>
          </w:p>
        </w:tc>
      </w:tr>
    </w:tbl>
    <w:p>
      <w:pPr>
        <w:pStyle w:val="TextBody"/>
        <w:spacing w:before="0" w:after="0"/>
        <w:rPr/>
      </w:pPr>
      <w:r>
        <w:rPr/>
      </w:r>
    </w:p>
    <w:tbl>
      <w:tblPr>
        <w:tblW w:w="7558" w:type="dxa"/>
        <w:jc w:val="left"/>
        <w:tblInd w:w="0" w:type="dxa"/>
        <w:tblCellMar>
          <w:top w:w="0" w:type="dxa"/>
          <w:left w:w="0" w:type="dxa"/>
          <w:bottom w:w="0" w:type="dxa"/>
          <w:right w:w="0" w:type="dxa"/>
        </w:tblCellMar>
      </w:tblPr>
      <w:tblGrid>
        <w:gridCol w:w="4670"/>
        <w:gridCol w:w="60"/>
        <w:gridCol w:w="223"/>
        <w:gridCol w:w="1013"/>
        <w:gridCol w:w="151"/>
        <w:gridCol w:w="95"/>
        <w:gridCol w:w="223"/>
        <w:gridCol w:w="1013"/>
        <w:gridCol w:w="110"/>
      </w:tblGrid>
      <w:tr>
        <w:trPr/>
        <w:tc>
          <w:tcPr>
            <w:tcW w:w="46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1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Year Ended December 31,</w:t>
            </w:r>
          </w:p>
        </w:tc>
        <w:tc>
          <w:tcPr>
            <w:tcW w:w="110" w:type="dxa"/>
            <w:tcBorders/>
            <w:shd w:fill="auto" w:val="clear"/>
            <w:vAlign w:val="bottom"/>
          </w:tcPr>
          <w:p>
            <w:pPr>
              <w:pStyle w:val="TableContents"/>
              <w:spacing w:before="0" w:after="283"/>
              <w:rPr/>
            </w:pPr>
            <w:r>
              <w:rPr/>
              <w:t> </w:t>
            </w:r>
          </w:p>
        </w:tc>
      </w:tr>
      <w:tr>
        <w:trPr/>
        <w:tc>
          <w:tcPr>
            <w:tcW w:w="4670"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123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3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rPr>
                <w:b/>
              </w:rPr>
            </w:pPr>
            <w:r>
              <w:rPr>
                <w:b/>
              </w:rPr>
              <w:t>Net loss</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0"/>
              <w:rPr/>
            </w:pPr>
            <w:r>
              <w:rPr/>
              <w:t>$</w:t>
            </w:r>
          </w:p>
        </w:tc>
        <w:tc>
          <w:tcPr>
            <w:tcW w:w="1013" w:type="dxa"/>
            <w:tcBorders/>
            <w:shd w:fill="CCEEFF" w:val="clear"/>
            <w:vAlign w:val="bottom"/>
          </w:tcPr>
          <w:p>
            <w:pPr>
              <w:pStyle w:val="TableContents"/>
              <w:spacing w:before="0" w:after="0"/>
              <w:jc w:val="right"/>
              <w:rPr/>
            </w:pPr>
            <w:r>
              <w:rPr/>
              <w:t>(5,549</w:t>
            </w:r>
          </w:p>
        </w:tc>
        <w:tc>
          <w:tcPr>
            <w:tcW w:w="151" w:type="dxa"/>
            <w:tcBorders/>
            <w:shd w:fill="CCEEFF" w:val="clear"/>
            <w:vAlign w:val="bottom"/>
          </w:tcPr>
          <w:p>
            <w:pPr>
              <w:pStyle w:val="TableContents"/>
              <w:spacing w:before="0" w:after="0"/>
              <w:rPr/>
            </w:pPr>
            <w:r>
              <w:rPr/>
              <w:t>)</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0"/>
              <w:rPr/>
            </w:pPr>
            <w:r>
              <w:rPr/>
              <w:t>$</w:t>
            </w:r>
          </w:p>
        </w:tc>
        <w:tc>
          <w:tcPr>
            <w:tcW w:w="1013" w:type="dxa"/>
            <w:tcBorders/>
            <w:shd w:fill="CCEEFF" w:val="clear"/>
            <w:vAlign w:val="bottom"/>
          </w:tcPr>
          <w:p>
            <w:pPr>
              <w:pStyle w:val="TableContents"/>
              <w:spacing w:before="0" w:after="0"/>
              <w:jc w:val="right"/>
              <w:rPr/>
            </w:pPr>
            <w:r>
              <w:rPr/>
              <w:t>(2,706</w:t>
            </w:r>
          </w:p>
        </w:tc>
        <w:tc>
          <w:tcPr>
            <w:tcW w:w="110" w:type="dxa"/>
            <w:tcBorders/>
            <w:shd w:fill="CCEEFF" w:val="clear"/>
            <w:vAlign w:val="bottom"/>
          </w:tcPr>
          <w:p>
            <w:pPr>
              <w:pStyle w:val="TableContents"/>
              <w:spacing w:before="0" w:after="0"/>
              <w:rPr/>
            </w:pPr>
            <w:r>
              <w:rPr/>
              <w:t>)</w:t>
            </w:r>
          </w:p>
        </w:tc>
      </w:tr>
      <w:tr>
        <w:trPr/>
        <w:tc>
          <w:tcPr>
            <w:tcW w:w="46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rPr>
                <w:b/>
              </w:rPr>
            </w:pPr>
            <w:r>
              <w:rPr>
                <w:b/>
              </w:rPr>
              <w:t>Adjustments:</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4670" w:type="dxa"/>
            <w:tcBorders/>
            <w:shd w:fill="auto" w:val="clear"/>
            <w:vAlign w:val="bottom"/>
          </w:tcPr>
          <w:p>
            <w:pPr>
              <w:pStyle w:val="TableContents"/>
              <w:spacing w:before="0" w:after="0"/>
              <w:ind w:left="180" w:right="0" w:hanging="0"/>
              <w:rPr/>
            </w:pPr>
            <w:r>
              <w:rPr/>
              <w:t>Depreciation and amortization</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5,293</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3,736</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ind w:left="180" w:right="0" w:hanging="0"/>
              <w:rPr/>
            </w:pPr>
            <w:r>
              <w:rPr/>
              <w:t>Amortization of operating lease right-of-use asset</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395</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350</w:t>
            </w:r>
          </w:p>
        </w:tc>
        <w:tc>
          <w:tcPr>
            <w:tcW w:w="110" w:type="dxa"/>
            <w:tcBorders/>
            <w:shd w:fill="CCEEFF" w:val="clear"/>
            <w:vAlign w:val="bottom"/>
          </w:tcPr>
          <w:p>
            <w:pPr>
              <w:pStyle w:val="TableContents"/>
              <w:spacing w:before="0" w:after="283"/>
              <w:rPr/>
            </w:pPr>
            <w:r>
              <w:rPr/>
              <w:t> </w:t>
            </w:r>
          </w:p>
        </w:tc>
      </w:tr>
      <w:tr>
        <w:trPr/>
        <w:tc>
          <w:tcPr>
            <w:tcW w:w="4670" w:type="dxa"/>
            <w:tcBorders/>
            <w:shd w:fill="auto" w:val="clear"/>
            <w:vAlign w:val="bottom"/>
          </w:tcPr>
          <w:p>
            <w:pPr>
              <w:pStyle w:val="TableContents"/>
              <w:spacing w:before="0" w:after="0"/>
              <w:ind w:left="180" w:right="0" w:hanging="0"/>
              <w:rPr/>
            </w:pPr>
            <w:r>
              <w:rPr/>
              <w:t>Loss on disposal of property and equipment</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52</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140</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ind w:left="180" w:right="0" w:hanging="0"/>
              <w:rPr/>
            </w:pPr>
            <w:r>
              <w:rPr/>
              <w:t>Income taxes</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63</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34</w:t>
            </w:r>
          </w:p>
        </w:tc>
        <w:tc>
          <w:tcPr>
            <w:tcW w:w="110" w:type="dxa"/>
            <w:tcBorders/>
            <w:shd w:fill="CCEEFF" w:val="clear"/>
            <w:vAlign w:val="bottom"/>
          </w:tcPr>
          <w:p>
            <w:pPr>
              <w:pStyle w:val="TableContents"/>
              <w:spacing w:before="0" w:after="283"/>
              <w:rPr/>
            </w:pPr>
            <w:r>
              <w:rPr/>
              <w:t> </w:t>
            </w:r>
          </w:p>
        </w:tc>
      </w:tr>
      <w:tr>
        <w:trPr/>
        <w:tc>
          <w:tcPr>
            <w:tcW w:w="4670" w:type="dxa"/>
            <w:tcBorders/>
            <w:shd w:fill="auto" w:val="clear"/>
            <w:vAlign w:val="bottom"/>
          </w:tcPr>
          <w:p>
            <w:pPr>
              <w:pStyle w:val="TableContents"/>
              <w:spacing w:before="0" w:after="0"/>
              <w:ind w:left="180" w:right="0" w:hanging="0"/>
              <w:rPr/>
            </w:pPr>
            <w:r>
              <w:rPr/>
              <w:t>Gain on forgiveness of debt</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0"/>
              <w:jc w:val="right"/>
              <w:rPr/>
            </w:pPr>
            <w:r>
              <w:rPr/>
              <w:t>(2,029</w:t>
            </w:r>
          </w:p>
        </w:tc>
        <w:tc>
          <w:tcPr>
            <w:tcW w:w="110" w:type="dxa"/>
            <w:tcBorders/>
            <w:shd w:fill="auto" w:val="clear"/>
            <w:vAlign w:val="bottom"/>
          </w:tcPr>
          <w:p>
            <w:pPr>
              <w:pStyle w:val="TableContents"/>
              <w:spacing w:before="0" w:after="0"/>
              <w:rPr/>
            </w:pPr>
            <w:r>
              <w:rPr/>
              <w:t>)</w:t>
            </w:r>
          </w:p>
        </w:tc>
      </w:tr>
      <w:tr>
        <w:trPr/>
        <w:tc>
          <w:tcPr>
            <w:tcW w:w="4670" w:type="dxa"/>
            <w:tcBorders/>
            <w:shd w:fill="CCEEFF" w:val="clear"/>
            <w:vAlign w:val="bottom"/>
          </w:tcPr>
          <w:p>
            <w:pPr>
              <w:pStyle w:val="TableContents"/>
              <w:spacing w:before="0" w:after="0"/>
              <w:ind w:left="180" w:right="0" w:hanging="0"/>
              <w:rPr/>
            </w:pPr>
            <w:r>
              <w:rPr/>
              <w:t>Interest income</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(89</w:t>
            </w:r>
          </w:p>
        </w:tc>
        <w:tc>
          <w:tcPr>
            <w:tcW w:w="151" w:type="dxa"/>
            <w:tcBorders/>
            <w:shd w:fill="CCEEFF" w:val="clear"/>
            <w:vAlign w:val="bottom"/>
          </w:tcPr>
          <w:p>
            <w:pPr>
              <w:pStyle w:val="TableContents"/>
              <w:spacing w:before="0" w:after="0"/>
              <w:rPr/>
            </w:pPr>
            <w:r>
              <w:rPr/>
              <w:t>)</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(15</w:t>
            </w:r>
          </w:p>
        </w:tc>
        <w:tc>
          <w:tcPr>
            <w:tcW w:w="110" w:type="dxa"/>
            <w:tcBorders/>
            <w:shd w:fill="CCEEFF" w:val="clear"/>
            <w:vAlign w:val="bottom"/>
          </w:tcPr>
          <w:p>
            <w:pPr>
              <w:pStyle w:val="TableContents"/>
              <w:spacing w:before="0" w:after="0"/>
              <w:rPr/>
            </w:pPr>
            <w:r>
              <w:rPr/>
              <w:t>)</w:t>
            </w:r>
          </w:p>
        </w:tc>
      </w:tr>
      <w:tr>
        <w:trPr/>
        <w:tc>
          <w:tcPr>
            <w:tcW w:w="4670" w:type="dxa"/>
            <w:tcBorders/>
            <w:shd w:fill="auto" w:val="clear"/>
            <w:vAlign w:val="bottom"/>
          </w:tcPr>
          <w:p>
            <w:pPr>
              <w:pStyle w:val="TableContents"/>
              <w:spacing w:before="0" w:after="0"/>
              <w:ind w:left="180" w:right="0" w:hanging="0"/>
              <w:rPr/>
            </w:pPr>
            <w:r>
              <w:rPr/>
              <w:t>Interest expense</w:t>
            </w:r>
          </w:p>
        </w:tc>
        <w:tc>
          <w:tcPr>
            <w:tcW w:w="60" w:type="dxa"/>
            <w:tcBorders/>
            <w:shd w:fill="auto" w:val="clear"/>
            <w:vAlign w:val="bottom"/>
          </w:tcPr>
          <w:p>
            <w:pPr>
              <w:pStyle w:val="TableContents"/>
              <w:spacing w:before="0" w:after="283"/>
              <w:rPr/>
            </w:pPr>
            <w:r>
              <w:rPr/>
              <w:t> </w:t>
            </w:r>
          </w:p>
        </w:tc>
        <w:tc>
          <w:tcPr>
            <w:tcW w:w="223" w:type="dxa"/>
            <w:tcBorders>
              <w:bottom w:val="single" w:sz="12" w:space="0" w:color="000000"/>
            </w:tcBorders>
            <w:shd w:fill="auto" w:val="clear"/>
            <w:tcMar>
              <w:bottom w:w="28" w:type="dxa"/>
            </w:tcMar>
            <w:vAlign w:val="bottom"/>
          </w:tcPr>
          <w:p>
            <w:pPr>
              <w:pStyle w:val="TableContents"/>
              <w:spacing w:before="0" w:after="283"/>
              <w:rPr/>
            </w:pPr>
            <w:r>
              <w:rPr/>
              <w:t> </w:t>
            </w:r>
          </w:p>
        </w:tc>
        <w:tc>
          <w:tcPr>
            <w:tcW w:w="1013" w:type="dxa"/>
            <w:tcBorders>
              <w:bottom w:val="single" w:sz="12" w:space="0" w:color="000000"/>
            </w:tcBorders>
            <w:shd w:fill="auto" w:val="clear"/>
            <w:tcMar>
              <w:bottom w:w="28" w:type="dxa"/>
            </w:tcMar>
            <w:vAlign w:val="bottom"/>
          </w:tcPr>
          <w:p>
            <w:pPr>
              <w:pStyle w:val="TableContents"/>
              <w:spacing w:before="0" w:after="0"/>
              <w:jc w:val="right"/>
              <w:rPr/>
            </w:pPr>
            <w:r>
              <w:rPr/>
              <w:t>926</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bottom w:val="single" w:sz="12" w:space="0" w:color="000000"/>
            </w:tcBorders>
            <w:shd w:fill="auto" w:val="clear"/>
            <w:tcMar>
              <w:bottom w:w="28" w:type="dxa"/>
            </w:tcMar>
            <w:vAlign w:val="bottom"/>
          </w:tcPr>
          <w:p>
            <w:pPr>
              <w:pStyle w:val="TableContents"/>
              <w:spacing w:before="0" w:after="283"/>
              <w:rPr/>
            </w:pPr>
            <w:r>
              <w:rPr/>
              <w:t> </w:t>
            </w:r>
          </w:p>
        </w:tc>
        <w:tc>
          <w:tcPr>
            <w:tcW w:w="1013" w:type="dxa"/>
            <w:tcBorders>
              <w:bottom w:val="single" w:sz="12" w:space="0" w:color="000000"/>
            </w:tcBorders>
            <w:shd w:fill="auto" w:val="clear"/>
            <w:tcMar>
              <w:bottom w:w="28" w:type="dxa"/>
            </w:tcMar>
            <w:vAlign w:val="bottom"/>
          </w:tcPr>
          <w:p>
            <w:pPr>
              <w:pStyle w:val="TableContents"/>
              <w:spacing w:before="0" w:after="0"/>
              <w:jc w:val="right"/>
              <w:rPr/>
            </w:pPr>
            <w:r>
              <w:rPr/>
              <w:t>314</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rPr>
                <w:b/>
              </w:rPr>
            </w:pPr>
            <w:r>
              <w:rPr>
                <w:b/>
              </w:rPr>
              <w:t>Non-GAAP EBITDA</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1,091</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0"/>
              <w:jc w:val="right"/>
              <w:rPr/>
            </w:pPr>
            <w:r>
              <w:rPr/>
              <w:t>(176</w:t>
            </w:r>
          </w:p>
        </w:tc>
        <w:tc>
          <w:tcPr>
            <w:tcW w:w="110" w:type="dxa"/>
            <w:tcBorders/>
            <w:shd w:fill="CCEEFF" w:val="clear"/>
            <w:vAlign w:val="bottom"/>
          </w:tcPr>
          <w:p>
            <w:pPr>
              <w:pStyle w:val="TableContents"/>
              <w:spacing w:before="0" w:after="0"/>
              <w:rPr/>
            </w:pPr>
            <w:r>
              <w:rPr/>
              <w:t>)</w:t>
            </w:r>
          </w:p>
        </w:tc>
      </w:tr>
      <w:tr>
        <w:trPr/>
        <w:tc>
          <w:tcPr>
            <w:tcW w:w="4670" w:type="dxa"/>
            <w:tcBorders/>
            <w:shd w:fill="auto" w:val="clear"/>
            <w:vAlign w:val="bottom"/>
          </w:tcPr>
          <w:p>
            <w:pPr>
              <w:pStyle w:val="TableContents"/>
              <w:spacing w:before="0" w:after="0"/>
              <w:ind w:left="180" w:right="0" w:hanging="0"/>
              <w:rPr/>
            </w:pPr>
            <w:r>
              <w:rPr/>
              <w:t>Stock-based compensation</w:t>
            </w:r>
          </w:p>
        </w:tc>
        <w:tc>
          <w:tcPr>
            <w:tcW w:w="60" w:type="dxa"/>
            <w:tcBorders/>
            <w:shd w:fill="auto" w:val="clear"/>
            <w:vAlign w:val="bottom"/>
          </w:tcPr>
          <w:p>
            <w:pPr>
              <w:pStyle w:val="TableContents"/>
              <w:spacing w:before="0" w:after="283"/>
              <w:rPr/>
            </w:pPr>
            <w:r>
              <w:rPr/>
              <w:t> </w:t>
            </w:r>
          </w:p>
        </w:tc>
        <w:tc>
          <w:tcPr>
            <w:tcW w:w="223" w:type="dxa"/>
            <w:tcBorders>
              <w:bottom w:val="single" w:sz="12" w:space="0" w:color="000000"/>
            </w:tcBorders>
            <w:shd w:fill="auto" w:val="clear"/>
            <w:tcMar>
              <w:bottom w:w="28" w:type="dxa"/>
            </w:tcMar>
            <w:vAlign w:val="bottom"/>
          </w:tcPr>
          <w:p>
            <w:pPr>
              <w:pStyle w:val="TableContents"/>
              <w:spacing w:before="0" w:after="283"/>
              <w:rPr/>
            </w:pPr>
            <w:r>
              <w:rPr/>
              <w:t> </w:t>
            </w:r>
          </w:p>
        </w:tc>
        <w:tc>
          <w:tcPr>
            <w:tcW w:w="1013" w:type="dxa"/>
            <w:tcBorders>
              <w:bottom w:val="single" w:sz="12" w:space="0" w:color="000000"/>
            </w:tcBorders>
            <w:shd w:fill="auto" w:val="clear"/>
            <w:tcMar>
              <w:bottom w:w="28" w:type="dxa"/>
            </w:tcMar>
            <w:vAlign w:val="bottom"/>
          </w:tcPr>
          <w:p>
            <w:pPr>
              <w:pStyle w:val="TableContents"/>
              <w:spacing w:before="0" w:after="0"/>
              <w:jc w:val="right"/>
              <w:rPr/>
            </w:pPr>
            <w:r>
              <w:rPr/>
              <w:t>1,466</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23" w:type="dxa"/>
            <w:tcBorders>
              <w:bottom w:val="single" w:sz="12" w:space="0" w:color="000000"/>
            </w:tcBorders>
            <w:shd w:fill="auto" w:val="clear"/>
            <w:tcMar>
              <w:bottom w:w="28" w:type="dxa"/>
            </w:tcMar>
            <w:vAlign w:val="bottom"/>
          </w:tcPr>
          <w:p>
            <w:pPr>
              <w:pStyle w:val="TableContents"/>
              <w:spacing w:before="0" w:after="283"/>
              <w:rPr/>
            </w:pPr>
            <w:r>
              <w:rPr/>
              <w:t> </w:t>
            </w:r>
          </w:p>
        </w:tc>
        <w:tc>
          <w:tcPr>
            <w:tcW w:w="1013" w:type="dxa"/>
            <w:tcBorders>
              <w:bottom w:val="single" w:sz="12" w:space="0" w:color="000000"/>
            </w:tcBorders>
            <w:shd w:fill="auto" w:val="clear"/>
            <w:tcMar>
              <w:bottom w:w="28" w:type="dxa"/>
            </w:tcMar>
            <w:vAlign w:val="bottom"/>
          </w:tcPr>
          <w:p>
            <w:pPr>
              <w:pStyle w:val="TableContents"/>
              <w:spacing w:before="0" w:after="0"/>
              <w:jc w:val="right"/>
              <w:rPr/>
            </w:pPr>
            <w:r>
              <w:rPr/>
              <w:t>1,643</w:t>
            </w:r>
          </w:p>
        </w:tc>
        <w:tc>
          <w:tcPr>
            <w:tcW w:w="110" w:type="dxa"/>
            <w:tcBorders/>
            <w:shd w:fill="auto" w:val="clear"/>
            <w:vAlign w:val="bottom"/>
          </w:tcPr>
          <w:p>
            <w:pPr>
              <w:pStyle w:val="TableContents"/>
              <w:spacing w:before="0" w:after="283"/>
              <w:rPr/>
            </w:pPr>
            <w:r>
              <w:rPr/>
              <w:t> </w:t>
            </w:r>
          </w:p>
        </w:tc>
      </w:tr>
      <w:tr>
        <w:trPr/>
        <w:tc>
          <w:tcPr>
            <w:tcW w:w="4670" w:type="dxa"/>
            <w:tcBorders/>
            <w:shd w:fill="CCEEFF" w:val="clear"/>
            <w:vAlign w:val="bottom"/>
          </w:tcPr>
          <w:p>
            <w:pPr>
              <w:pStyle w:val="TableContents"/>
              <w:spacing w:before="0" w:after="0"/>
              <w:rPr>
                <w:b/>
              </w:rPr>
            </w:pPr>
            <w:r>
              <w:rPr>
                <w:b/>
              </w:rPr>
              <w:t>Non-GAAP adjusted EBITDA</w:t>
            </w:r>
          </w:p>
        </w:tc>
        <w:tc>
          <w:tcPr>
            <w:tcW w:w="60" w:type="dxa"/>
            <w:tcBorders/>
            <w:shd w:fill="CCEEFF" w:val="clear"/>
            <w:vAlign w:val="bottom"/>
          </w:tcPr>
          <w:p>
            <w:pPr>
              <w:pStyle w:val="TableContents"/>
              <w:spacing w:before="0" w:after="283"/>
              <w:rPr/>
            </w:pPr>
            <w:r>
              <w:rPr/>
              <w:t> </w:t>
            </w:r>
          </w:p>
        </w:tc>
        <w:tc>
          <w:tcPr>
            <w:tcW w:w="223" w:type="dxa"/>
            <w:tcBorders>
              <w:bottom w:val="double" w:sz="8" w:space="0" w:color="000000"/>
            </w:tcBorders>
            <w:shd w:fill="CCEEFF" w:val="clear"/>
            <w:tcMar>
              <w:bottom w:w="28" w:type="dxa"/>
            </w:tcMar>
            <w:vAlign w:val="bottom"/>
          </w:tcPr>
          <w:p>
            <w:pPr>
              <w:pStyle w:val="TableContents"/>
              <w:spacing w:before="0" w:after="0"/>
              <w:rPr/>
            </w:pPr>
            <w:r>
              <w:rPr/>
              <w:t>$</w:t>
            </w:r>
          </w:p>
        </w:tc>
        <w:tc>
          <w:tcPr>
            <w:tcW w:w="1013" w:type="dxa"/>
            <w:tcBorders>
              <w:bottom w:val="double" w:sz="8" w:space="0" w:color="000000"/>
            </w:tcBorders>
            <w:shd w:fill="CCEEFF" w:val="clear"/>
            <w:tcMar>
              <w:bottom w:w="28" w:type="dxa"/>
            </w:tcMar>
            <w:vAlign w:val="bottom"/>
          </w:tcPr>
          <w:p>
            <w:pPr>
              <w:pStyle w:val="TableContents"/>
              <w:spacing w:before="0" w:after="0"/>
              <w:jc w:val="right"/>
              <w:rPr/>
            </w:pPr>
            <w:r>
              <w:rPr/>
              <w:t>2,557</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223" w:type="dxa"/>
            <w:tcBorders>
              <w:bottom w:val="double" w:sz="8" w:space="0" w:color="000000"/>
            </w:tcBorders>
            <w:shd w:fill="CCEEFF" w:val="clear"/>
            <w:tcMar>
              <w:bottom w:w="28" w:type="dxa"/>
            </w:tcMar>
            <w:vAlign w:val="bottom"/>
          </w:tcPr>
          <w:p>
            <w:pPr>
              <w:pStyle w:val="TableContents"/>
              <w:spacing w:before="0" w:after="0"/>
              <w:rPr/>
            </w:pPr>
            <w:r>
              <w:rPr/>
              <w:t>$</w:t>
            </w:r>
          </w:p>
        </w:tc>
        <w:tc>
          <w:tcPr>
            <w:tcW w:w="1013" w:type="dxa"/>
            <w:tcBorders>
              <w:bottom w:val="double" w:sz="8" w:space="0" w:color="000000"/>
            </w:tcBorders>
            <w:shd w:fill="CCEEFF" w:val="clear"/>
            <w:tcMar>
              <w:bottom w:w="28" w:type="dxa"/>
            </w:tcMar>
            <w:vAlign w:val="bottom"/>
          </w:tcPr>
          <w:p>
            <w:pPr>
              <w:pStyle w:val="TableContents"/>
              <w:spacing w:before="0" w:after="0"/>
              <w:jc w:val="right"/>
              <w:rPr/>
            </w:pPr>
            <w:r>
              <w:rPr/>
              <w:t>1,467</w:t>
            </w:r>
          </w:p>
        </w:tc>
        <w:tc>
          <w:tcPr>
            <w:tcW w:w="110"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2022, we had cash and cash equivalents and restricted cash of $6.8 million and an accumulated deficit of $227.2 million. We used $1.1 million in cash flows from operating activities and received cash flows from operating activities of $1.5 million during the years ended December 31, 2022 and 2021, respectively. We have historically incurred operating losses, and we anticipate that our operating losses will continue in the near term as we seek to expand our sales and marketing initiatives to support our growth in existing and new markets, invest funds in additional engineering and product development activities and utilize cash for other corporate purposes. Our primary sources of capital have been from borrowings under our debt facilities and sales of our products. As of December 31, 2022, we had $8.0 million of borrowings outstanding under our debt facility with MidCap Financial Trust, or MidCap, which has a final maturity in September 2026.</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September 2021, we entered into an $8.0 million secured borrowing facility with MidCap. The facility bears interest at LIBOR plus 7.50%, with a LIBOR floor of 0.50%, and matures on September 1, 2026. In September 2022, we amended the facility to transition, upon the cessation of LIBOR, to one-month SOFR, or such other applicable period, plus 0.10%, with a floor or 0.50%. We are obligated to make interest-only payments through September 2024. From October 2024 to Maturity, we will make principal payments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October 2021, we entered into an equity distribution agreement under which we may sell up to $11.0 million of our shares of common stock in registered “at-the-market” offerings. The shares will be offered at prevailing market prices, and we will pay commissions of up to 3.0% of the gross proceeds from the sale of shares sold through our agent, which may act as an agent and/or principal. We have no obligation to sell any shares under this agreement and may, at any time, suspend solicitations under this agreement. No shares of our common stock have been sold under this distribution agreement during fiscal 2022 or 2021.</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cannot predict our revenues and expenses in the short term as a result of the COVID-19 pandemic and related responses by our customers and our ultimate consumers as a result thereof. Based on our current business plan, we believe that our cash and cash equivalents as of December 31, 2022 and anticipated revenues from sales of our products and operating expense management will be sufficient to meet our cash requirements for at least 12 months from the date of issuance of the Annual Report. However, if these sources are insufficient to satisfy our liquidity requirements, we may seek to sell additional debt or equity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spacing w:before="0" w:after="0"/>
        <w:ind w:left="0" w:right="0" w:firstLine="360"/>
        <w:jc w:val="both"/>
        <w:rPr/>
      </w:pPr>
      <w:r>
        <w:rPr/>
      </w:r>
    </w:p>
    <w:tbl>
      <w:tblPr>
        <w:tblW w:w="7310" w:type="dxa"/>
        <w:jc w:val="left"/>
        <w:tblInd w:w="0" w:type="dxa"/>
        <w:tblCellMar>
          <w:top w:w="0" w:type="dxa"/>
          <w:left w:w="0" w:type="dxa"/>
          <w:bottom w:w="0" w:type="dxa"/>
          <w:right w:w="0" w:type="dxa"/>
        </w:tblCellMar>
      </w:tblPr>
      <w:tblGrid>
        <w:gridCol w:w="5435"/>
        <w:gridCol w:w="60"/>
        <w:gridCol w:w="140"/>
        <w:gridCol w:w="635"/>
        <w:gridCol w:w="95"/>
        <w:gridCol w:w="60"/>
        <w:gridCol w:w="140"/>
        <w:gridCol w:w="635"/>
        <w:gridCol w:w="110"/>
      </w:tblGrid>
      <w:tr>
        <w:trPr/>
        <w:tc>
          <w:tcPr>
            <w:tcW w:w="54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110" w:type="dxa"/>
            <w:tcBorders/>
            <w:shd w:fill="auto"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0"/>
              <w:rPr>
                <w:b/>
                <w:i/>
              </w:rPr>
            </w:pPr>
            <w:r>
              <w:rPr>
                <w:b/>
                <w:i/>
              </w:rPr>
              <w:t>(in thousands)</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0"/>
              <w:rPr/>
            </w:pPr>
            <w:r>
              <w:rPr/>
              <w:t>Cash (used in) provided by</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5435" w:type="dxa"/>
            <w:tcBorders/>
            <w:shd w:fill="CCEEFF" w:val="clear"/>
            <w:vAlign w:val="bottom"/>
          </w:tcPr>
          <w:p>
            <w:pPr>
              <w:pStyle w:val="TableContents"/>
              <w:spacing w:before="0" w:after="0"/>
              <w:rPr/>
            </w:pPr>
            <w:r>
              <w:rPr/>
              <w:t>Operating activities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35" w:type="dxa"/>
            <w:tcBorders/>
            <w:shd w:fill="CCEEFF" w:val="clear"/>
            <w:vAlign w:val="bottom"/>
          </w:tcPr>
          <w:p>
            <w:pPr>
              <w:pStyle w:val="TableContents"/>
              <w:spacing w:before="0" w:after="0"/>
              <w:jc w:val="right"/>
              <w:rPr/>
            </w:pPr>
            <w:r>
              <w:rPr/>
              <w:t>(1,108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35" w:type="dxa"/>
            <w:tcBorders/>
            <w:shd w:fill="CCEEFF" w:val="clear"/>
            <w:vAlign w:val="bottom"/>
          </w:tcPr>
          <w:p>
            <w:pPr>
              <w:pStyle w:val="TableContents"/>
              <w:spacing w:before="0" w:after="0"/>
              <w:jc w:val="right"/>
              <w:rPr/>
            </w:pPr>
            <w:r>
              <w:rPr/>
              <w:t>1,508</w:t>
            </w:r>
          </w:p>
        </w:tc>
        <w:tc>
          <w:tcPr>
            <w:tcW w:w="110" w:type="dxa"/>
            <w:tcBorders/>
            <w:shd w:fill="CCEE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0"/>
              <w:rPr/>
            </w:pPr>
            <w:r>
              <w:rPr/>
              <w:t>Investing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pPr>
            <w:r>
              <w:rPr/>
              <w:t>(4,183</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0"/>
              <w:jc w:val="right"/>
              <w:rPr/>
            </w:pPr>
            <w:r>
              <w:rPr/>
              <w:t>(7,126</w:t>
            </w:r>
          </w:p>
        </w:tc>
        <w:tc>
          <w:tcPr>
            <w:tcW w:w="110" w:type="dxa"/>
            <w:tcBorders/>
            <w:shd w:fill="auto" w:val="clear"/>
            <w:vAlign w:val="bottom"/>
          </w:tcPr>
          <w:p>
            <w:pPr>
              <w:pStyle w:val="TableContents"/>
              <w:spacing w:before="0" w:after="0"/>
              <w:rPr/>
            </w:pPr>
            <w:r>
              <w:rPr/>
              <w:t>)</w:t>
            </w:r>
          </w:p>
        </w:tc>
      </w:tr>
      <w:tr>
        <w:trPr/>
        <w:tc>
          <w:tcPr>
            <w:tcW w:w="5435" w:type="dxa"/>
            <w:tcBorders/>
            <w:shd w:fill="CCEEFF" w:val="clear"/>
            <w:vAlign w:val="bottom"/>
          </w:tcPr>
          <w:p>
            <w:pPr>
              <w:pStyle w:val="TableContents"/>
              <w:spacing w:before="0" w:after="0"/>
              <w:rPr/>
            </w:pPr>
            <w:r>
              <w:rPr/>
              <w:t>Financing activities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(500</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92</w:t>
            </w:r>
          </w:p>
        </w:tc>
        <w:tc>
          <w:tcPr>
            <w:tcW w:w="110" w:type="dxa"/>
            <w:tcBorders/>
            <w:shd w:fill="CCEE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0"/>
              <w:ind w:left="180" w:right="0" w:hanging="0"/>
              <w:rPr/>
            </w:pPr>
            <w:r>
              <w:rPr/>
              <w:t>Net decrease in cash, cash equivalents and restricted cash</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35" w:type="dxa"/>
            <w:tcBorders>
              <w:bottom w:val="double" w:sz="8" w:space="0" w:color="000000"/>
            </w:tcBorders>
            <w:shd w:fill="auto" w:val="clear"/>
            <w:tcMar>
              <w:bottom w:w="28" w:type="dxa"/>
            </w:tcMar>
            <w:vAlign w:val="bottom"/>
          </w:tcPr>
          <w:p>
            <w:pPr>
              <w:pStyle w:val="TableContents"/>
              <w:spacing w:before="0" w:after="0"/>
              <w:jc w:val="right"/>
              <w:rPr/>
            </w:pPr>
            <w:r>
              <w:rPr/>
              <w:t>(5,791</w:t>
            </w:r>
          </w:p>
        </w:tc>
        <w:tc>
          <w:tcPr>
            <w:tcW w:w="9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35" w:type="dxa"/>
            <w:tcBorders>
              <w:bottom w:val="double" w:sz="8" w:space="0" w:color="000000"/>
            </w:tcBorders>
            <w:shd w:fill="auto" w:val="clear"/>
            <w:tcMar>
              <w:bottom w:w="28" w:type="dxa"/>
            </w:tcMar>
            <w:vAlign w:val="bottom"/>
          </w:tcPr>
          <w:p>
            <w:pPr>
              <w:pStyle w:val="TableContents"/>
              <w:spacing w:before="0" w:after="0"/>
              <w:jc w:val="right"/>
              <w:rPr/>
            </w:pPr>
            <w:r>
              <w:rPr/>
              <w:t>(5,526</w:t>
            </w:r>
          </w:p>
        </w:tc>
        <w:tc>
          <w:tcPr>
            <w:tcW w:w="110" w:type="dxa"/>
            <w:tcBorders/>
            <w:shd w:fill="auto" w:val="clear"/>
            <w:vAlign w:val="bottom"/>
          </w:tcPr>
          <w:p>
            <w:pPr>
              <w:pStyle w:val="TableContents"/>
              <w:spacing w:before="0" w:after="0"/>
              <w:rPr/>
            </w:pPr>
            <w:r>
              <w:rPr/>
              <w:t>)</w:t>
            </w:r>
          </w:p>
        </w:tc>
      </w:tr>
    </w:tbl>
    <w:p>
      <w:pPr>
        <w:pStyle w:val="TextBody"/>
        <w:spacing w:before="0" w:after="0"/>
        <w:jc w:val="both"/>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Operating Activities</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 was $1.1 million for the year ended December 31, 2022, compared to cash, cash equivalents and restricted cash provided by operating activities of $1.5 million for the year ended December 31, 2021. The decrease in cash flows from operating activities for the year ended December 31, 2022 was primarily driven by an increase in inventories to avoid supply chain disruptions, an increase in accounts receivable, and a decrease in accrued compensation.</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Investing Activities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Net cash, cash equivalents and restricted cash used in investing activities was $4.2 million for the year ended December 31, 2022, compared to cash, cash equivalents and restricted cash used in investing activities of $7.1 million for the year ended December 31, 2021. The decrease is primarily the result of the Pharos asset purchase in 2021, offset by the TheraClear asset purchase in 2022.</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Financing Activities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During the year ended December 31, 2022, we received no proceeds and used $0.5 million in cash from financing activities for the payment of contingent consideration resulting from the TheraClear asset purchase. During the year ended December 31, 2021, we received net proceeds of $7.9 million from our senior term facility with MidCap, offset by debt repayments of $7.8 million associated with our note payable and EIDL Loan.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Debt Obligations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September 2021, we entered into an $8.0 million secured borrowing facility with MidCap. The facility bears interest at LIBOR plus 7.50%, with a LIBOR floor of 0.50%, and matures on September 1, 2026. In September 2022, we amended the facility to transition, upon the cessation of LIBOR, to one-month SOFR, or such other applicable period, plus 0.10%, with a floor or 0.50%. We are obligated to make interest-only payments through September 2024. From October 2024 to Maturity, we will make principal payments in 24 equal installments. The loan is senior to all other indebtedness and is secured by substantially all of our assets. We are subject to customary affirmative and negative covenants including a financial covenant based on minimum revenue thresholds. Upon an event of default, including a covenant violation, all principal and interest are due on demand.</w:t>
      </w:r>
    </w:p>
    <w:p>
      <w:pPr>
        <w:pStyle w:val="TextBody"/>
        <w:spacing w:before="0" w:after="0"/>
        <w:jc w:val="left"/>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Operating Lease Obligations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lease our facilities and certain IT and office equipment under non-cancellable operating leases with remaining lease terms of up to four years. Remaining lease obligations are $1.1 million as of December 31, 2022, with payments of $0.4 million due within the next year.</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Theravant, the seller of the TheraClear devices, is eligible to receive up to $3.0 million in future earnout payments upon the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As of December 31, 2022, we have estimated the future earnout payments at $8.6 million, of which $0.3 million is expected to be paid within the next year. Due to uncertainties associated with the development of a new product line and the use of estimates and assumptions to determine the fair value of the contingent consideration, the amount ultimately paid in connection with the earnout may differ from the estimated fair value.</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Milestone Payments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January 2022, we entered into a Development Agreement (the “Development Agreement”) with Theravant. Under the Development Agreement, we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has a three-year term, unless terminated sooner by either party.</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Impact of Inflation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not operated in a highly inflationary period, and we do not believe that inflation has had a material effect on our revenues or expenses. If we enter an inflationary period, it could have a material impact on our expenses.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preparation of our financial statements in accordance with accounting principles generally accepted in the United States of America,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2. Summary of Significant Accounting Policies” in our audited financial statements and related notes thereto appearing elsewhere in this Annual Report on Form 10-K, we believe the following discussion addresses our most critical accounting policies.</w:t>
      </w:r>
    </w:p>
    <w:p>
      <w:pPr>
        <w:pStyle w:val="TextBody"/>
        <w:spacing w:before="0" w:after="0"/>
        <w:ind w:left="0" w:right="0" w:firstLine="720"/>
        <w:jc w:val="left"/>
        <w:rPr>
          <w:color w:val="000000"/>
        </w:rPr>
      </w:pPr>
      <w:r>
        <w:rPr>
          <w:color w:val="00000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Revenue Recognition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have primarily two types of arrangements for our phototherapy treatment equipment from which we earn revenues from dermatology recurring procedures: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 Revenues attributable to these types of arrangements are accounted for under the guidance applicable to leases. These arrangements are similar to operating leases since we provide the customers limited arrangement rights to use the treatment equipment,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We recognize revenue from dermatology procedures equipment sales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pStyle w:val="TextBody"/>
        <w:spacing w:before="0" w:after="0"/>
        <w:jc w:val="left"/>
        <w:rPr/>
      </w:pPr>
      <w:r>
        <w:rPr/>
      </w:r>
    </w:p>
    <w:tbl>
      <w:tblPr>
        <w:tblW w:w="5718" w:type="dxa"/>
        <w:jc w:val="left"/>
        <w:tblInd w:w="0" w:type="dxa"/>
        <w:tblCellMar>
          <w:top w:w="0" w:type="dxa"/>
          <w:left w:w="0" w:type="dxa"/>
          <w:bottom w:w="0" w:type="dxa"/>
          <w:right w:w="0" w:type="dxa"/>
        </w:tblCellMar>
      </w:tblPr>
      <w:tblGrid>
        <w:gridCol w:w="38"/>
        <w:gridCol w:w="110"/>
        <w:gridCol w:w="55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570" w:type="dxa"/>
            <w:tcBorders/>
            <w:shd w:fill="auto" w:val="clear"/>
            <w:vAlign w:val="center"/>
          </w:tcPr>
          <w:p>
            <w:pPr>
              <w:pStyle w:val="TableContents"/>
              <w:spacing w:before="0" w:after="0"/>
              <w:rPr>
                <w:color w:val="000000"/>
              </w:rPr>
            </w:pPr>
            <w:r>
              <w:rPr>
                <w:color w:val="000000"/>
              </w:rPr>
              <w:t>identification of the contract, or contracts, with a customer;</w:t>
            </w:r>
          </w:p>
        </w:tc>
      </w:tr>
    </w:tbl>
    <w:p>
      <w:pPr>
        <w:pStyle w:val="TextBody"/>
        <w:spacing w:before="0" w:after="0"/>
        <w:rPr/>
      </w:pPr>
      <w:r>
        <w:rPr/>
      </w:r>
    </w:p>
    <w:tbl>
      <w:tblPr>
        <w:tblW w:w="5808" w:type="dxa"/>
        <w:jc w:val="left"/>
        <w:tblInd w:w="0" w:type="dxa"/>
        <w:tblCellMar>
          <w:top w:w="0" w:type="dxa"/>
          <w:left w:w="0" w:type="dxa"/>
          <w:bottom w:w="0" w:type="dxa"/>
          <w:right w:w="0" w:type="dxa"/>
        </w:tblCellMar>
      </w:tblPr>
      <w:tblGrid>
        <w:gridCol w:w="38"/>
        <w:gridCol w:w="110"/>
        <w:gridCol w:w="56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660" w:type="dxa"/>
            <w:tcBorders/>
            <w:shd w:fill="auto" w:val="clear"/>
            <w:vAlign w:val="center"/>
          </w:tcPr>
          <w:p>
            <w:pPr>
              <w:pStyle w:val="TableContents"/>
              <w:spacing w:before="0" w:after="0"/>
              <w:rPr>
                <w:color w:val="000000"/>
              </w:rPr>
            </w:pPr>
            <w:r>
              <w:rPr>
                <w:color w:val="000000"/>
              </w:rPr>
              <w:t>identification of the performance obligations in the contract;</w:t>
            </w:r>
          </w:p>
        </w:tc>
      </w:tr>
    </w:tbl>
    <w:p>
      <w:pPr>
        <w:pStyle w:val="TextBody"/>
        <w:spacing w:before="0" w:after="0"/>
        <w:rPr/>
      </w:pPr>
      <w:r>
        <w:rPr/>
      </w:r>
    </w:p>
    <w:tbl>
      <w:tblPr>
        <w:tblW w:w="3738" w:type="dxa"/>
        <w:jc w:val="left"/>
        <w:tblInd w:w="0" w:type="dxa"/>
        <w:tblCellMar>
          <w:top w:w="0" w:type="dxa"/>
          <w:left w:w="0" w:type="dxa"/>
          <w:bottom w:w="0" w:type="dxa"/>
          <w:right w:w="0" w:type="dxa"/>
        </w:tblCellMar>
      </w:tblPr>
      <w:tblGrid>
        <w:gridCol w:w="38"/>
        <w:gridCol w:w="110"/>
        <w:gridCol w:w="35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3590" w:type="dxa"/>
            <w:tcBorders/>
            <w:shd w:fill="auto" w:val="clear"/>
            <w:vAlign w:val="center"/>
          </w:tcPr>
          <w:p>
            <w:pPr>
              <w:pStyle w:val="TableContents"/>
              <w:spacing w:before="0" w:after="0"/>
              <w:rPr>
                <w:color w:val="000000"/>
              </w:rPr>
            </w:pPr>
            <w:r>
              <w:rPr>
                <w:color w:val="000000"/>
              </w:rPr>
              <w:t>determination of the transaction price;</w:t>
            </w:r>
          </w:p>
        </w:tc>
      </w:tr>
    </w:tbl>
    <w:p>
      <w:pPr>
        <w:pStyle w:val="TextBody"/>
        <w:spacing w:before="0" w:after="0"/>
        <w:rPr/>
      </w:pPr>
      <w:r>
        <w:rPr/>
      </w:r>
    </w:p>
    <w:tbl>
      <w:tblPr>
        <w:tblW w:w="8088" w:type="dxa"/>
        <w:jc w:val="left"/>
        <w:tblInd w:w="0" w:type="dxa"/>
        <w:tblCellMar>
          <w:top w:w="0" w:type="dxa"/>
          <w:left w:w="0" w:type="dxa"/>
          <w:bottom w:w="0" w:type="dxa"/>
          <w:right w:w="0" w:type="dxa"/>
        </w:tblCellMar>
      </w:tblPr>
      <w:tblGrid>
        <w:gridCol w:w="38"/>
        <w:gridCol w:w="110"/>
        <w:gridCol w:w="79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940" w:type="dxa"/>
            <w:tcBorders/>
            <w:shd w:fill="auto" w:val="clear"/>
            <w:vAlign w:val="center"/>
          </w:tcPr>
          <w:p>
            <w:pPr>
              <w:pStyle w:val="TableContents"/>
              <w:spacing w:before="0" w:after="0"/>
              <w:rPr>
                <w:color w:val="000000"/>
              </w:rPr>
            </w:pPr>
            <w:r>
              <w:rPr>
                <w:color w:val="000000"/>
              </w:rPr>
              <w:t>allocation of the transaction price to the performance obligations in the contract; and</w:t>
            </w:r>
          </w:p>
        </w:tc>
      </w:tr>
    </w:tbl>
    <w:p>
      <w:pPr>
        <w:pStyle w:val="TextBody"/>
        <w:spacing w:before="0" w:after="0"/>
        <w:rPr/>
      </w:pPr>
      <w:r>
        <w:rPr/>
      </w:r>
    </w:p>
    <w:tbl>
      <w:tblPr>
        <w:tblW w:w="7098" w:type="dxa"/>
        <w:jc w:val="left"/>
        <w:tblInd w:w="0" w:type="dxa"/>
        <w:tblCellMar>
          <w:top w:w="0" w:type="dxa"/>
          <w:left w:w="0" w:type="dxa"/>
          <w:bottom w:w="0" w:type="dxa"/>
          <w:right w:w="0" w:type="dxa"/>
        </w:tblCellMar>
      </w:tblPr>
      <w:tblGrid>
        <w:gridCol w:w="38"/>
        <w:gridCol w:w="110"/>
        <w:gridCol w:w="69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6950" w:type="dxa"/>
            <w:tcBorders/>
            <w:shd w:fill="auto" w:val="clear"/>
            <w:vAlign w:val="center"/>
          </w:tcPr>
          <w:p>
            <w:pPr>
              <w:pStyle w:val="TableContents"/>
              <w:spacing w:before="0" w:after="0"/>
              <w:rPr>
                <w:color w:val="000000"/>
              </w:rPr>
            </w:pPr>
            <w:r>
              <w:rPr>
                <w:color w:val="000000"/>
              </w:rPr>
              <w:t>recognition of revenues when, or as, we satisfy a performance obligation.</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 contract’s transaction price is allocated to each performance obligation and recognized as revenue when, or as, the performance obligation is satisfied, which is generally the point in time when the product is shipped or control is transferred for our dermatology procedures equipment sales. We sell to physicians in the United States and to third-party distributors outside the United States and do not provide return rights. Sales to distributors outside the United States are made in U.S. dollars. In addition, we provide a one to two-year warranty for systems sold in the United States. Terms of the of the product warranty differ amongst our third-party distributors outside the United States but are generally two years. These assurance-type warranties are not considered a separate performance obligation. We provide for the estimated cost to repair or replace products under any warranty at the time of sale. We also earn revenue from customers from services outside of their warranty term or annual service contracts. Revenue from these service-type warranties is recognized as the services are provided.</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Asset Acquisitions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Accounting for transactions as asset acquisitions is significantly different than business combinations. Goodwill is only recognized in business combination transactions. The fair value of contingent consideration is recognized in business combination transactions and may be recognized in asset acquisitions if payment is probable and the amount can be estimated. As a result, it is important to determine whether a business or an asset or a group of assets is acquired. A business is defined in ASC 805, </w:t>
      </w:r>
      <w:r>
        <w:rPr>
          <w:rFonts w:ascii="Times New Roman" w:hAnsi="Times New Roman"/>
          <w:i/>
          <w:color w:val="000000"/>
          <w:sz w:val="20"/>
        </w:rPr>
        <w:t>Business Combinations</w:t>
      </w:r>
      <w:r>
        <w:rPr>
          <w:rFonts w:ascii="Times New Roman" w:hAnsi="Times New Roman"/>
          <w:color w:val="000000"/>
          <w:sz w:val="20"/>
        </w:rPr>
        <w:t>, as an integrated set of inputs and processes that are capable of generating outputs that have the ability to provide a return to its investors or owners. Typical inputs include long-lived assets (including intangible assets or rights to use long-lived assets), intellectual property and the ability to obtain access to required resources. Typical processes include strategic, operational and resource management processes that are typically documented or evident through an organized workforce.</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When substantially all of the fair value of the gross assets acquired is concentrated in a single identifiable asset or group of similar identifiable assets, the acquired set is not a business. We considered all of the above factors when determining whether a business was acquired. In evaluating our acquisition of TheraClear in 2022, we concluded that the fair value of consideration given to Theravant was concentrated in the acquired technology intangible. In evaluating our acquisition of Pharos in 2021, we concluded that the fair value of consideration given to Ra Medical was concentrated in the acquired customer list intangible. As such, we accounted for the transactions as asset acquisitions. The fair value was allocated to the acquired intangibles and is being amortized over their estimated useful lives.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purchase price for certain assets acquired related to TheraClear devices during January 2022 includes earnout payments, or contingent consideration. Estimates that involve a significant level of estimation uncertainty include the valuation of contingent consideration, which was determined using forecasted financial information available at the acquisition date, a discount rate and various other assumptions as described in more detail in Note 3 to our consolidated financial statements.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technology intangible asset.</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Goodwill and Intangible Impairments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As of December 31, 2022, we had $8.8 million of goodwill related to the acquisitions of XTRAC and VTRAC businesses in fiscal 2015. We evaluate the carrying value of goodwill during the fourth quarter of each year and whenever circumstances indicate the carrying value of goodwill may not be recoverable. The determination of the fair value of the reporting units to which the goodwill relates requires management to make estimates and assumptions. We organized our business into two operating segments, which also serve as our goodwill reporting units and are defined as Dermatology Recurring Procedures and Dermatology Procedures Equipment Sales. Our analysis employed the use of both a market and income approach, with the market approach given a 25% weighting and the income approach given a 75%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For both reporting units the fair value was in excess of the carrying value. Considerable management judgment is necessary to evaluate the impact of operating changes and to estimate future cash flows. Changes in our actual results and/or estimates or any of our other assumptions used in our analysis could result in a different conclusion.</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All of our intangibles are definite lived assets, with amortization recorded over the estimated useful life on a straight-line basis. As of December 31, 2022 we had $17.4 million of intangible assets.  The definite lived assets are tested for impairment when events or changes in circumstances indicate that the carrying value of the asset group may not be recoverable. Our intangible assets are grouped into five categories: core technology, product technology, customer relationships, trade names and Pharos customer lists.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Sales and Use Taxes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Company records state sales tax collected and remitted for its customers on dermatology procedures equipment sales on a net basis, excluded from revenue. The Company’s sales tax expense that is not presently being collected and remitted for the recurring revenue business is recorded in general and administrative expenses within the consolidated statements of operations.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Times New Roman" w:hAnsi="Times New Roman"/>
          <w:i/>
          <w:color w:val="000000"/>
          <w:sz w:val="20"/>
        </w:rPr>
        <w:t>Liabilities</w:t>
      </w:r>
      <w:r>
        <w:rPr>
          <w:rFonts w:ascii="Times New Roman" w:hAnsi="Times New Roman"/>
          <w:color w:val="000000"/>
          <w:sz w:val="20"/>
        </w:rPr>
        <w:t>,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Several states have assessed the Company an aggregate of $2.4 million including penalties and interest for the period from March 2014 through April 2020. The Company received notification that an administrative state judge issued an opinion finding in favor of the Company that the sale of XTRAC treatment codes was not taxable as sales tax with respect to that state’s first assessment. This ruling covers $1.5 million of the total $2.4 million of assessments. The relevant taxing authority filed an appeal of the administrative law judge’s finding and, following the submission of legal briefs by both sides and oral argument held in January 2022, on May 6, 2022, the Company received a written decision from the State of New York Appeals Tribunal (“Tribunal”) overturning the favorable sales tax determination of the administrative law judge. The Company filed an appeal of the Tribunal’s decision, and posted the required appellate bond requiring posting cash collateral, with the New York State Appellate Division, and is awaiting for the appellate court to set a briefing and oral argument schedule.</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Company is also in another jurisdiction’s administrative process of appeal with respect to the remaining $0.9 million of assessments, and the timing of the process has been impacted by the COVID-19 pandemic. If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audited financial statements appearing elsewhere in this Annual Report.</w:t>
      </w:r>
    </w:p>
    <w:p>
      <w:pPr>
        <w:pStyle w:val="TextBody"/>
        <w:spacing w:before="0" w:after="0"/>
        <w:jc w:val="both"/>
        <w:rPr/>
      </w:pPr>
      <w:r>
        <w:rPr/>
      </w:r>
    </w:p>
    <w:p>
      <w:pPr>
        <w:pStyle w:val="Normal"/>
        <w:spacing w:before="0" w:after="0"/>
        <w:jc w:val="left"/>
        <w:rPr>
          <w:sz w:val="4"/>
          <w:szCs w:val="4"/>
        </w:rPr>
      </w:pPr>
      <w:r>
        <w:rPr>
          <w:sz w:val="4"/>
          <w:szCs w:val="4"/>
        </w:rPr>
      </w:r>
      <w:bookmarkStart w:id="20" w:name="QUANTITATIVEANDQUALITATIV"/>
      <w:bookmarkStart w:id="21" w:name="QUANTITATIVEANDQUALITATIV"/>
      <w:bookmarkEnd w:id="21"/>
    </w:p>
    <w:tbl>
      <w:tblPr>
        <w:tblW w:w="9970" w:type="dxa"/>
        <w:jc w:val="left"/>
        <w:tblInd w:w="0" w:type="dxa"/>
        <w:tblCellMar>
          <w:top w:w="0" w:type="dxa"/>
          <w:left w:w="0" w:type="dxa"/>
          <w:bottom w:w="0" w:type="dxa"/>
          <w:right w:w="0" w:type="dxa"/>
        </w:tblCellMar>
      </w:tblPr>
      <w:tblGrid>
        <w:gridCol w:w="1100"/>
        <w:gridCol w:w="8870"/>
      </w:tblGrid>
      <w:tr>
        <w:trPr/>
        <w:tc>
          <w:tcPr>
            <w:tcW w:w="1100" w:type="dxa"/>
            <w:tcBorders/>
            <w:shd w:fill="auto" w:val="clear"/>
            <w:vAlign w:val="center"/>
          </w:tcPr>
          <w:p>
            <w:pPr>
              <w:pStyle w:val="TableContents"/>
              <w:spacing w:before="0" w:after="283"/>
              <w:rPr>
                <w:b/>
              </w:rPr>
            </w:pPr>
            <w:r>
              <w:rPr>
                <w:b/>
              </w:rPr>
              <w:t>ITEM 7A.</w:t>
            </w:r>
          </w:p>
        </w:tc>
        <w:tc>
          <w:tcPr>
            <w:tcW w:w="8870" w:type="dxa"/>
            <w:tcBorders/>
            <w:shd w:fill="auto" w:val="clear"/>
            <w:vAlign w:val="center"/>
          </w:tcPr>
          <w:p>
            <w:pPr>
              <w:pStyle w:val="TableContents"/>
              <w:spacing w:before="0" w:after="0"/>
              <w:jc w:val="both"/>
              <w:rPr>
                <w:b/>
              </w:rPr>
            </w:pPr>
            <w:r>
              <w:rPr>
                <w:b/>
              </w:rPr>
              <w:t>QUANTITATIVE AND QUALITATIVE DISCLOSURES ABOUT MARKET RISK</w:t>
            </w:r>
          </w:p>
        </w:tc>
      </w:tr>
    </w:tbl>
    <w:p>
      <w:pPr>
        <w:pStyle w:val="TextBody"/>
        <w:spacing w:before="0" w:after="0"/>
        <w:jc w:val="both"/>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Normal"/>
        <w:spacing w:before="0" w:after="0"/>
        <w:jc w:val="left"/>
        <w:rPr>
          <w:sz w:val="4"/>
          <w:szCs w:val="4"/>
        </w:rPr>
      </w:pPr>
      <w:r>
        <w:rPr>
          <w:sz w:val="4"/>
          <w:szCs w:val="4"/>
        </w:rPr>
      </w:r>
      <w:bookmarkStart w:id="22" w:name="FINANCIALSTATEMENTSANDSUP"/>
      <w:bookmarkStart w:id="23" w:name="FINANCIALSTATEMENTSANDSUP"/>
      <w:bookmarkEnd w:id="23"/>
    </w:p>
    <w:tbl>
      <w:tblPr>
        <w:tblW w:w="7735" w:type="dxa"/>
        <w:jc w:val="left"/>
        <w:tblInd w:w="0" w:type="dxa"/>
        <w:tblCellMar>
          <w:top w:w="0" w:type="dxa"/>
          <w:left w:w="0" w:type="dxa"/>
          <w:bottom w:w="0" w:type="dxa"/>
          <w:right w:w="0" w:type="dxa"/>
        </w:tblCellMar>
      </w:tblPr>
      <w:tblGrid>
        <w:gridCol w:w="920"/>
        <w:gridCol w:w="6815"/>
      </w:tblGrid>
      <w:tr>
        <w:trPr/>
        <w:tc>
          <w:tcPr>
            <w:tcW w:w="920" w:type="dxa"/>
            <w:tcBorders/>
            <w:shd w:fill="auto" w:val="clear"/>
            <w:vAlign w:val="center"/>
          </w:tcPr>
          <w:p>
            <w:pPr>
              <w:pStyle w:val="TableContents"/>
              <w:spacing w:before="0" w:after="283"/>
              <w:rPr>
                <w:b/>
              </w:rPr>
            </w:pPr>
            <w:r>
              <w:rPr>
                <w:b/>
              </w:rPr>
              <w:t>ITEM 8.</w:t>
            </w:r>
          </w:p>
        </w:tc>
        <w:tc>
          <w:tcPr>
            <w:tcW w:w="6815" w:type="dxa"/>
            <w:tcBorders/>
            <w:shd w:fill="auto" w:val="clear"/>
            <w:vAlign w:val="center"/>
          </w:tcPr>
          <w:p>
            <w:pPr>
              <w:pStyle w:val="TableContents"/>
              <w:spacing w:before="0" w:after="0"/>
              <w:rPr>
                <w:b/>
              </w:rPr>
            </w:pPr>
            <w:r>
              <w:rPr>
                <w:b/>
              </w:rPr>
              <w:t>FINANCIAL STATEMENTS AND SUPPLEMENTARY DATA</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financial statements required by this Item 8 are included in this Report and begin on page F-1.</w:t>
      </w:r>
    </w:p>
    <w:p>
      <w:pPr>
        <w:pStyle w:val="TextBody"/>
        <w:spacing w:before="0" w:after="0"/>
        <w:jc w:val="left"/>
        <w:rPr/>
      </w:pPr>
      <w:r>
        <w:rPr/>
      </w:r>
    </w:p>
    <w:p>
      <w:pPr>
        <w:pStyle w:val="Normal"/>
        <w:spacing w:before="0" w:after="0"/>
        <w:jc w:val="left"/>
        <w:rPr>
          <w:sz w:val="4"/>
          <w:szCs w:val="4"/>
        </w:rPr>
      </w:pPr>
      <w:r>
        <w:rPr>
          <w:sz w:val="4"/>
          <w:szCs w:val="4"/>
        </w:rPr>
      </w:r>
      <w:bookmarkStart w:id="24" w:name="CHANGESINANDDISAGREEMENTS"/>
      <w:bookmarkStart w:id="25" w:name="CHANGESINANDDISAGREEMENTS"/>
      <w:bookmarkEnd w:id="25"/>
    </w:p>
    <w:tbl>
      <w:tblPr>
        <w:tblW w:w="10205" w:type="dxa"/>
        <w:jc w:val="left"/>
        <w:tblInd w:w="0" w:type="dxa"/>
        <w:tblCellMar>
          <w:top w:w="0" w:type="dxa"/>
          <w:left w:w="0" w:type="dxa"/>
          <w:bottom w:w="0" w:type="dxa"/>
          <w:right w:w="0" w:type="dxa"/>
        </w:tblCellMar>
      </w:tblPr>
      <w:tblGrid>
        <w:gridCol w:w="840"/>
        <w:gridCol w:w="9365"/>
      </w:tblGrid>
      <w:tr>
        <w:trPr/>
        <w:tc>
          <w:tcPr>
            <w:tcW w:w="840" w:type="dxa"/>
            <w:tcBorders/>
            <w:shd w:fill="auto" w:val="clear"/>
            <w:vAlign w:val="center"/>
          </w:tcPr>
          <w:p>
            <w:pPr>
              <w:pStyle w:val="TableContents"/>
              <w:spacing w:before="0" w:after="283"/>
              <w:rPr>
                <w:b/>
              </w:rPr>
            </w:pPr>
            <w:r>
              <w:rPr>
                <w:b/>
              </w:rPr>
              <w:t>ITEM 9.</w:t>
            </w:r>
          </w:p>
        </w:tc>
        <w:tc>
          <w:tcPr>
            <w:tcW w:w="9365" w:type="dxa"/>
            <w:tcBorders/>
            <w:shd w:fill="auto" w:val="clear"/>
            <w:vAlign w:val="center"/>
          </w:tcPr>
          <w:p>
            <w:pPr>
              <w:pStyle w:val="TableContents"/>
              <w:spacing w:before="0" w:after="0"/>
              <w:rPr>
                <w:b/>
              </w:rPr>
            </w:pPr>
            <w:r>
              <w:rPr>
                <w:b/>
              </w:rPr>
              <w:t>CHANGES IN AND DISAGREEMENTS WITH ACCOUNTANTS ON ACCOUNTING AND FINANCIAL DISCLOSURE</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Normal"/>
        <w:spacing w:before="0" w:after="0"/>
        <w:jc w:val="left"/>
        <w:rPr>
          <w:sz w:val="4"/>
          <w:szCs w:val="4"/>
        </w:rPr>
      </w:pPr>
      <w:r>
        <w:rPr>
          <w:sz w:val="4"/>
          <w:szCs w:val="4"/>
        </w:rPr>
      </w:r>
      <w:bookmarkStart w:id="26" w:name="CONTROLSANDPROCEDURES"/>
      <w:bookmarkStart w:id="27" w:name="CONTROLSANDPROCEDURES"/>
      <w:bookmarkEnd w:id="27"/>
    </w:p>
    <w:tbl>
      <w:tblPr>
        <w:tblW w:w="4855" w:type="dxa"/>
        <w:jc w:val="left"/>
        <w:tblInd w:w="0" w:type="dxa"/>
        <w:tblCellMar>
          <w:top w:w="0" w:type="dxa"/>
          <w:left w:w="0" w:type="dxa"/>
          <w:bottom w:w="0" w:type="dxa"/>
          <w:right w:w="0" w:type="dxa"/>
        </w:tblCellMar>
      </w:tblPr>
      <w:tblGrid>
        <w:gridCol w:w="1100"/>
        <w:gridCol w:w="3755"/>
      </w:tblGrid>
      <w:tr>
        <w:trPr/>
        <w:tc>
          <w:tcPr>
            <w:tcW w:w="1100" w:type="dxa"/>
            <w:tcBorders/>
            <w:shd w:fill="auto" w:val="clear"/>
            <w:vAlign w:val="center"/>
          </w:tcPr>
          <w:p>
            <w:pPr>
              <w:pStyle w:val="TableContents"/>
              <w:spacing w:before="0" w:after="283"/>
              <w:rPr>
                <w:b/>
              </w:rPr>
            </w:pPr>
            <w:r>
              <w:rPr>
                <w:b/>
              </w:rPr>
              <w:t>ITEM 9A.</w:t>
            </w:r>
          </w:p>
        </w:tc>
        <w:tc>
          <w:tcPr>
            <w:tcW w:w="3755" w:type="dxa"/>
            <w:tcBorders/>
            <w:shd w:fill="auto" w:val="clear"/>
            <w:vAlign w:val="center"/>
          </w:tcPr>
          <w:p>
            <w:pPr>
              <w:pStyle w:val="TableContents"/>
              <w:spacing w:before="0" w:after="0"/>
              <w:rPr>
                <w:b/>
              </w:rPr>
            </w:pPr>
            <w:r>
              <w:rPr>
                <w:b/>
              </w:rPr>
              <w:t>CONTROLS AND PROCEDURES</w:t>
            </w:r>
          </w:p>
        </w:tc>
      </w:tr>
    </w:tbl>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Limitations of Internal Control System</w:t>
      </w:r>
    </w:p>
    <w:p>
      <w:pPr>
        <w:pStyle w:val="TextBody"/>
        <w:spacing w:before="0" w:after="0"/>
        <w:jc w:val="left"/>
        <w:rPr>
          <w:color w:val="000000"/>
        </w:rPr>
      </w:pPr>
      <w:r>
        <w:rPr>
          <w:color w:val="000000"/>
        </w:rPr>
        <w:t> </w:t>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spacing w:before="0" w:after="0"/>
        <w:jc w:val="left"/>
        <w:rPr>
          <w:color w:val="000000"/>
        </w:rPr>
      </w:pPr>
      <w:r>
        <w:rPr>
          <w:color w:val="000000"/>
        </w:rPr>
        <w:t> </w:t>
      </w:r>
    </w:p>
    <w:p>
      <w:pPr>
        <w:pStyle w:val="TextBody"/>
        <w:spacing w:before="0" w:after="0"/>
        <w:ind w:left="0" w:right="20" w:firstLine="648"/>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the design and operation of our disclosure controls and procedures, (as such term is defined in Rules 13a-15(e) and 15d-15(e) under the Securities Exchange Act of 1934 (the “Exchange Act”), as of December 31, 2022. Based on that evaluation, management has concluded that, as of such date, our disclosure controls and procedures were effective at the reasonable assurance level.</w:t>
      </w:r>
    </w:p>
    <w:p>
      <w:pPr>
        <w:pStyle w:val="TextBody"/>
        <w:spacing w:before="0" w:after="0"/>
        <w:jc w:val="left"/>
        <w:rPr>
          <w:color w:val="000000"/>
        </w:rPr>
      </w:pPr>
      <w:r>
        <w:rPr>
          <w:color w:val="000000"/>
        </w:rPr>
        <w:t> </w:t>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spacing w:before="0" w:after="0"/>
        <w:jc w:val="left"/>
        <w:rPr>
          <w:color w:val="000000"/>
        </w:rPr>
      </w:pPr>
      <w:r>
        <w:rPr>
          <w:color w:val="000000"/>
        </w:rPr>
        <w:t> </w:t>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spacing w:before="0" w:after="0"/>
        <w:jc w:val="left"/>
        <w:rPr/>
      </w:pPr>
      <w:r>
        <w:rPr/>
      </w:r>
    </w:p>
    <w:p>
      <w:pPr>
        <w:pStyle w:val="TextBody"/>
        <w:spacing w:before="0" w:after="0"/>
        <w:ind w:left="0" w:right="0" w:firstLine="648"/>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Times New Roman" w:hAnsi="Times New Roman"/>
          <w:i/>
          <w:color w:val="000000"/>
          <w:sz w:val="20"/>
        </w:rPr>
        <w:t>Internal Control-Integrated</w:t>
      </w:r>
      <w:r>
        <w:rPr>
          <w:rFonts w:ascii="Times New Roman" w:hAnsi="Times New Roman"/>
          <w:color w:val="000000"/>
          <w:sz w:val="20"/>
        </w:rPr>
        <w:t> </w:t>
      </w:r>
      <w:r>
        <w:rPr>
          <w:rFonts w:ascii="Times New Roman" w:hAnsi="Times New Roman"/>
          <w:i/>
          <w:color w:val="000000"/>
          <w:sz w:val="20"/>
        </w:rPr>
        <w:t xml:space="preserve">Framework </w:t>
      </w:r>
      <w:r>
        <w:rPr>
          <w:rFonts w:ascii="Times New Roman" w:hAnsi="Times New Roman"/>
          <w:color w:val="000000"/>
          <w:sz w:val="20"/>
        </w:rPr>
        <w:t>issued by the Committee of Sponsoring Organizations of the Treadway Commission (COSO). Based on this assessment, our management has determined that our internal control over financial reporting was effective as of December 31, 2022.</w:t>
      </w:r>
    </w:p>
    <w:p>
      <w:pPr>
        <w:pStyle w:val="TextBody"/>
        <w:spacing w:before="0" w:after="0"/>
        <w:jc w:val="left"/>
        <w:rPr>
          <w:color w:val="000000"/>
        </w:rPr>
      </w:pPr>
      <w:r>
        <w:rPr>
          <w:color w:val="000000"/>
        </w:rPr>
        <w:t> </w:t>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spacing w:before="0" w:after="0"/>
        <w:jc w:val="left"/>
        <w:rPr>
          <w:color w:val="000000"/>
        </w:rPr>
      </w:pPr>
      <w:r>
        <w:rPr>
          <w:color w:val="000000"/>
        </w:rPr>
        <w:t> </w:t>
      </w:r>
    </w:p>
    <w:p>
      <w:pPr>
        <w:pStyle w:val="TextBody"/>
        <w:spacing w:before="0" w:after="0"/>
        <w:ind w:left="0" w:right="780" w:firstLine="648"/>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in our most recent fiscal quarter that has materially affected, or is reasonably likely to materially affect, our internal control over financial reporting.</w:t>
      </w:r>
    </w:p>
    <w:p>
      <w:pPr>
        <w:pStyle w:val="TextBody"/>
        <w:spacing w:before="0" w:after="0"/>
        <w:jc w:val="left"/>
        <w:rPr>
          <w:color w:val="000000"/>
        </w:rPr>
      </w:pPr>
      <w:r>
        <w:rPr>
          <w:color w:val="000000"/>
        </w:rPr>
        <w:t> </w:t>
      </w:r>
    </w:p>
    <w:p>
      <w:pPr>
        <w:pStyle w:val="TextBody"/>
        <w:spacing w:before="0" w:after="0"/>
        <w:jc w:val="both"/>
        <w:rPr/>
      </w:pPr>
      <w:r>
        <w:rPr/>
      </w:r>
    </w:p>
    <w:p>
      <w:pPr>
        <w:pStyle w:val="Normal"/>
        <w:spacing w:before="0" w:after="0"/>
        <w:jc w:val="left"/>
        <w:rPr>
          <w:sz w:val="4"/>
          <w:szCs w:val="4"/>
        </w:rPr>
      </w:pPr>
      <w:r>
        <w:rPr>
          <w:sz w:val="4"/>
          <w:szCs w:val="4"/>
        </w:rPr>
      </w:r>
      <w:bookmarkStart w:id="28" w:name="OTHERINFORMATION"/>
      <w:bookmarkStart w:id="29" w:name="OTHERINFORMATION"/>
      <w:bookmarkEnd w:id="29"/>
    </w:p>
    <w:tbl>
      <w:tblPr>
        <w:tblW w:w="3850" w:type="dxa"/>
        <w:jc w:val="left"/>
        <w:tblInd w:w="0" w:type="dxa"/>
        <w:tblCellMar>
          <w:top w:w="0" w:type="dxa"/>
          <w:left w:w="0" w:type="dxa"/>
          <w:bottom w:w="0" w:type="dxa"/>
          <w:right w:w="0" w:type="dxa"/>
        </w:tblCellMar>
      </w:tblPr>
      <w:tblGrid>
        <w:gridCol w:w="1085"/>
        <w:gridCol w:w="2765"/>
      </w:tblGrid>
      <w:tr>
        <w:trPr/>
        <w:tc>
          <w:tcPr>
            <w:tcW w:w="1085" w:type="dxa"/>
            <w:tcBorders/>
            <w:shd w:fill="auto" w:val="clear"/>
            <w:vAlign w:val="center"/>
          </w:tcPr>
          <w:p>
            <w:pPr>
              <w:pStyle w:val="TableContents"/>
              <w:spacing w:before="0" w:after="283"/>
              <w:rPr>
                <w:b/>
              </w:rPr>
            </w:pPr>
            <w:r>
              <w:rPr>
                <w:b/>
              </w:rPr>
              <w:t>ITEM 9B.</w:t>
            </w:r>
          </w:p>
        </w:tc>
        <w:tc>
          <w:tcPr>
            <w:tcW w:w="2765" w:type="dxa"/>
            <w:tcBorders/>
            <w:shd w:fill="auto" w:val="clear"/>
            <w:vAlign w:val="center"/>
          </w:tcPr>
          <w:p>
            <w:pPr>
              <w:pStyle w:val="TableContents"/>
              <w:spacing w:before="0" w:after="0"/>
              <w:jc w:val="both"/>
              <w:rPr>
                <w:b/>
              </w:rPr>
            </w:pPr>
            <w:r>
              <w:rPr>
                <w:b/>
              </w:rPr>
              <w:t>OTHER INFORMATION</w:t>
            </w:r>
          </w:p>
        </w:tc>
      </w:tr>
    </w:tbl>
    <w:p>
      <w:pPr>
        <w:pStyle w:val="TextBody"/>
        <w:spacing w:before="0" w:after="0"/>
        <w:jc w:val="both"/>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None.</w:t>
      </w:r>
    </w:p>
    <w:p>
      <w:pPr>
        <w:pStyle w:val="TextBody"/>
        <w:spacing w:before="0" w:after="0"/>
        <w:jc w:val="both"/>
        <w:rPr/>
      </w:pPr>
      <w:r>
        <w:rPr/>
      </w:r>
    </w:p>
    <w:p>
      <w:pPr>
        <w:pStyle w:val="Normal"/>
        <w:spacing w:before="0" w:after="0"/>
        <w:jc w:val="left"/>
        <w:rPr>
          <w:sz w:val="4"/>
          <w:szCs w:val="4"/>
        </w:rPr>
      </w:pPr>
      <w:r>
        <w:rPr>
          <w:sz w:val="4"/>
          <w:szCs w:val="4"/>
        </w:rPr>
      </w:r>
      <w:bookmarkStart w:id="30" w:name="DISCLOSUREREGARDINGFOREIG"/>
      <w:bookmarkStart w:id="31" w:name="DISCLOSUREREGARDINGFOREIG"/>
      <w:bookmarkEnd w:id="31"/>
    </w:p>
    <w:tbl>
      <w:tblPr>
        <w:tblW w:w="10205" w:type="dxa"/>
        <w:jc w:val="left"/>
        <w:tblInd w:w="0" w:type="dxa"/>
        <w:tblCellMar>
          <w:top w:w="0" w:type="dxa"/>
          <w:left w:w="0" w:type="dxa"/>
          <w:bottom w:w="0" w:type="dxa"/>
          <w:right w:w="0" w:type="dxa"/>
        </w:tblCellMar>
      </w:tblPr>
      <w:tblGrid>
        <w:gridCol w:w="1053"/>
        <w:gridCol w:w="9152"/>
      </w:tblGrid>
      <w:tr>
        <w:trPr/>
        <w:tc>
          <w:tcPr>
            <w:tcW w:w="1053" w:type="dxa"/>
            <w:tcBorders/>
            <w:shd w:fill="auto" w:val="clear"/>
            <w:vAlign w:val="center"/>
          </w:tcPr>
          <w:p>
            <w:pPr>
              <w:pStyle w:val="TableContents"/>
              <w:spacing w:before="0" w:after="283"/>
              <w:rPr>
                <w:b/>
              </w:rPr>
            </w:pPr>
            <w:r>
              <w:rPr>
                <w:b/>
              </w:rPr>
              <w:t>ITEM 9C.</w:t>
            </w:r>
          </w:p>
        </w:tc>
        <w:tc>
          <w:tcPr>
            <w:tcW w:w="9152" w:type="dxa"/>
            <w:tcBorders/>
            <w:shd w:fill="auto" w:val="clear"/>
            <w:vAlign w:val="center"/>
          </w:tcPr>
          <w:p>
            <w:pPr>
              <w:pStyle w:val="TableContents"/>
              <w:spacing w:before="0" w:after="0"/>
              <w:jc w:val="both"/>
              <w:rPr>
                <w:b/>
              </w:rPr>
            </w:pPr>
            <w:r>
              <w:rPr>
                <w:b/>
              </w:rPr>
              <w:t>DISCLOSURE REGARDING FOREIGN JURISDICTIONS THAT PREVENT INSPECTIONS</w:t>
            </w:r>
          </w:p>
        </w:tc>
      </w:tr>
    </w:tbl>
    <w:p>
      <w:pPr>
        <w:pStyle w:val="TextBody"/>
        <w:spacing w:before="0" w:after="0"/>
        <w:jc w:val="left"/>
        <w:rPr/>
      </w:pPr>
      <w:r>
        <w:rPr/>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bookmarkStart w:id="32" w:name="PART3"/>
      <w:bookmarkEnd w:id="32"/>
      <w:r>
        <w:rPr>
          <w:rFonts w:ascii="Times New Roman" w:hAnsi="Times New Roman"/>
          <w:b/>
          <w:color w:val="000000"/>
          <w:sz w:val="20"/>
        </w:rPr>
        <w:t>PART III</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33" w:name="DIRECTORSEXECUTIVEOFFICER"/>
      <w:bookmarkStart w:id="34" w:name="DIRECTORSEXECUTIVEOFFICER"/>
      <w:bookmarkEnd w:id="34"/>
    </w:p>
    <w:tbl>
      <w:tblPr>
        <w:tblW w:w="9520" w:type="dxa"/>
        <w:jc w:val="left"/>
        <w:tblInd w:w="0" w:type="dxa"/>
        <w:tblCellMar>
          <w:top w:w="0" w:type="dxa"/>
          <w:left w:w="0" w:type="dxa"/>
          <w:bottom w:w="0" w:type="dxa"/>
          <w:right w:w="0" w:type="dxa"/>
        </w:tblCellMar>
      </w:tblPr>
      <w:tblGrid>
        <w:gridCol w:w="1040"/>
        <w:gridCol w:w="8480"/>
      </w:tblGrid>
      <w:tr>
        <w:trPr/>
        <w:tc>
          <w:tcPr>
            <w:tcW w:w="1040" w:type="dxa"/>
            <w:tcBorders/>
            <w:shd w:fill="auto" w:val="clear"/>
            <w:vAlign w:val="center"/>
          </w:tcPr>
          <w:p>
            <w:pPr>
              <w:pStyle w:val="TableContents"/>
              <w:spacing w:before="0" w:after="283"/>
              <w:rPr>
                <w:b/>
              </w:rPr>
            </w:pPr>
            <w:r>
              <w:rPr>
                <w:b/>
              </w:rPr>
              <w:t>ITEM 10.</w:t>
            </w:r>
          </w:p>
        </w:tc>
        <w:tc>
          <w:tcPr>
            <w:tcW w:w="8480" w:type="dxa"/>
            <w:tcBorders/>
            <w:shd w:fill="auto" w:val="clear"/>
            <w:vAlign w:val="center"/>
          </w:tcPr>
          <w:p>
            <w:pPr>
              <w:pStyle w:val="TableContents"/>
              <w:spacing w:before="0" w:after="0"/>
              <w:jc w:val="both"/>
              <w:rPr>
                <w:b/>
              </w:rPr>
            </w:pPr>
            <w:r>
              <w:rPr>
                <w:b/>
              </w:rPr>
              <w:t>DIRECTORS, EXECUTIVE OFFICERS, AND CORPORATE GOVERNANCE</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2023 Annual Meeting of Stockholders to be filed with the Securities and Exchange Commission within 120 days of the fiscal year ended December 31, 2022.</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Our Board has adopted a written Code of Conduct applicable to all officers, directors and employees, which is available on our website (www.strataskinsciences.com) under “Corporate Governance” within the “Investors” section. We intend to satisfy the disclosure requirement under Item 5.05 of Form 8-K regarding amendment to, or waiver from, a provision of this Code of Conduct by posting such information on the website address and location specified above.</w:t>
      </w:r>
    </w:p>
    <w:p>
      <w:pPr>
        <w:pStyle w:val="TextBody"/>
        <w:spacing w:before="0" w:after="0"/>
        <w:jc w:val="both"/>
        <w:rPr/>
      </w:pPr>
      <w:r>
        <w:rPr/>
      </w:r>
    </w:p>
    <w:p>
      <w:pPr>
        <w:pStyle w:val="Normal"/>
        <w:spacing w:before="0" w:after="0"/>
        <w:jc w:val="left"/>
        <w:rPr>
          <w:sz w:val="4"/>
          <w:szCs w:val="4"/>
        </w:rPr>
      </w:pPr>
      <w:r>
        <w:rPr>
          <w:sz w:val="4"/>
          <w:szCs w:val="4"/>
        </w:rPr>
      </w:r>
      <w:bookmarkStart w:id="35" w:name="EXECUTIVECOMPENSATION"/>
      <w:bookmarkStart w:id="36" w:name="EXECUTIVECOMPENSATION"/>
      <w:bookmarkEnd w:id="36"/>
    </w:p>
    <w:tbl>
      <w:tblPr>
        <w:tblW w:w="4615" w:type="dxa"/>
        <w:jc w:val="left"/>
        <w:tblInd w:w="0" w:type="dxa"/>
        <w:tblCellMar>
          <w:top w:w="0" w:type="dxa"/>
          <w:left w:w="0" w:type="dxa"/>
          <w:bottom w:w="0" w:type="dxa"/>
          <w:right w:w="0" w:type="dxa"/>
        </w:tblCellMar>
      </w:tblPr>
      <w:tblGrid>
        <w:gridCol w:w="1040"/>
        <w:gridCol w:w="3575"/>
      </w:tblGrid>
      <w:tr>
        <w:trPr/>
        <w:tc>
          <w:tcPr>
            <w:tcW w:w="1040" w:type="dxa"/>
            <w:tcBorders/>
            <w:shd w:fill="auto" w:val="clear"/>
            <w:vAlign w:val="center"/>
          </w:tcPr>
          <w:p>
            <w:pPr>
              <w:pStyle w:val="TableContents"/>
              <w:spacing w:before="0" w:after="283"/>
              <w:rPr>
                <w:b/>
              </w:rPr>
            </w:pPr>
            <w:r>
              <w:rPr>
                <w:b/>
              </w:rPr>
              <w:t>ITEM 11.</w:t>
            </w:r>
          </w:p>
        </w:tc>
        <w:tc>
          <w:tcPr>
            <w:tcW w:w="3575" w:type="dxa"/>
            <w:tcBorders/>
            <w:shd w:fill="auto" w:val="clear"/>
            <w:vAlign w:val="center"/>
          </w:tcPr>
          <w:p>
            <w:pPr>
              <w:pStyle w:val="TableContents"/>
              <w:spacing w:before="0" w:after="0"/>
              <w:jc w:val="both"/>
              <w:rPr>
                <w:b/>
              </w:rPr>
            </w:pPr>
            <w:r>
              <w:rPr>
                <w:b/>
              </w:rPr>
              <w:t>EXECUTIVE COMPENSATION</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2023 Annual Meeting of Stockholders to be filed with the Securities and Exchange Commission within 120 days of the fiscal year ended December 31, 2022.</w:t>
      </w:r>
    </w:p>
    <w:p>
      <w:pPr>
        <w:pStyle w:val="TextBody"/>
        <w:spacing w:before="0" w:after="0"/>
        <w:ind w:left="0" w:right="0" w:firstLine="360"/>
        <w:jc w:val="both"/>
        <w:rPr/>
      </w:pPr>
      <w:r>
        <w:rPr/>
      </w:r>
    </w:p>
    <w:p>
      <w:pPr>
        <w:pStyle w:val="Normal"/>
        <w:spacing w:before="0" w:after="0"/>
        <w:jc w:val="left"/>
        <w:rPr>
          <w:sz w:val="4"/>
          <w:szCs w:val="4"/>
        </w:rPr>
      </w:pPr>
      <w:r>
        <w:rPr>
          <w:sz w:val="4"/>
          <w:szCs w:val="4"/>
        </w:rPr>
      </w:r>
      <w:bookmarkStart w:id="37" w:name="SECURITYOWNERSHIPOFCERTAI"/>
      <w:bookmarkStart w:id="38" w:name="SECURITYOWNERSHIPOFCERTAI"/>
      <w:bookmarkEnd w:id="38"/>
    </w:p>
    <w:tbl>
      <w:tblPr>
        <w:tblW w:w="10205" w:type="dxa"/>
        <w:jc w:val="left"/>
        <w:tblInd w:w="0" w:type="dxa"/>
        <w:tblCellMar>
          <w:top w:w="0" w:type="dxa"/>
          <w:left w:w="0" w:type="dxa"/>
          <w:bottom w:w="0" w:type="dxa"/>
          <w:right w:w="0" w:type="dxa"/>
        </w:tblCellMar>
      </w:tblPr>
      <w:tblGrid>
        <w:gridCol w:w="887"/>
        <w:gridCol w:w="9318"/>
      </w:tblGrid>
      <w:tr>
        <w:trPr/>
        <w:tc>
          <w:tcPr>
            <w:tcW w:w="887" w:type="dxa"/>
            <w:tcBorders/>
            <w:shd w:fill="auto" w:val="clear"/>
            <w:vAlign w:val="center"/>
          </w:tcPr>
          <w:p>
            <w:pPr>
              <w:pStyle w:val="TableContents"/>
              <w:spacing w:before="0" w:after="283"/>
              <w:rPr>
                <w:b/>
              </w:rPr>
            </w:pPr>
            <w:r>
              <w:rPr>
                <w:b/>
              </w:rPr>
              <w:t>ITEM 12.</w:t>
            </w:r>
          </w:p>
        </w:tc>
        <w:tc>
          <w:tcPr>
            <w:tcW w:w="9318" w:type="dxa"/>
            <w:tcBorders/>
            <w:shd w:fill="auto" w:val="clear"/>
            <w:vAlign w:val="center"/>
          </w:tcPr>
          <w:p>
            <w:pPr>
              <w:pStyle w:val="TableContents"/>
              <w:spacing w:before="0" w:after="0"/>
              <w:rPr>
                <w:b/>
              </w:rPr>
            </w:pPr>
            <w:r>
              <w:rPr>
                <w:b/>
              </w:rPr>
              <w:t>SECURITY OWNERSHIP OF CERTAIN BENEFICIAL OWNERS AND MANAGEMENT AND RELATED STOCKHOLDER MATTERS</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2023 Annual Meeting of Stockholders to be filed with the Securities and Exchange Commission within 120 days of the fiscal year ended December 31, 2022.</w:t>
      </w:r>
    </w:p>
    <w:p>
      <w:pPr>
        <w:pStyle w:val="TextBody"/>
        <w:spacing w:before="0" w:after="0"/>
        <w:jc w:val="left"/>
        <w:rPr/>
      </w:pPr>
      <w:r>
        <w:rPr/>
      </w:r>
    </w:p>
    <w:p>
      <w:pPr>
        <w:pStyle w:val="Normal"/>
        <w:spacing w:before="0" w:after="0"/>
        <w:jc w:val="left"/>
        <w:rPr>
          <w:sz w:val="4"/>
          <w:szCs w:val="4"/>
        </w:rPr>
      </w:pPr>
      <w:r>
        <w:rPr>
          <w:sz w:val="4"/>
          <w:szCs w:val="4"/>
        </w:rPr>
      </w:r>
      <w:bookmarkStart w:id="39" w:name="CERTAINRELATIONSHIPSANDRE"/>
      <w:bookmarkStart w:id="40" w:name="CERTAINRELATIONSHIPSANDRE"/>
      <w:bookmarkEnd w:id="40"/>
    </w:p>
    <w:tbl>
      <w:tblPr>
        <w:tblW w:w="10205" w:type="dxa"/>
        <w:jc w:val="left"/>
        <w:tblInd w:w="0" w:type="dxa"/>
        <w:tblCellMar>
          <w:top w:w="0" w:type="dxa"/>
          <w:left w:w="0" w:type="dxa"/>
          <w:bottom w:w="0" w:type="dxa"/>
          <w:right w:w="0" w:type="dxa"/>
        </w:tblCellMar>
      </w:tblPr>
      <w:tblGrid>
        <w:gridCol w:w="963"/>
        <w:gridCol w:w="9242"/>
      </w:tblGrid>
      <w:tr>
        <w:trPr/>
        <w:tc>
          <w:tcPr>
            <w:tcW w:w="963" w:type="dxa"/>
            <w:tcBorders/>
            <w:shd w:fill="auto" w:val="clear"/>
            <w:vAlign w:val="center"/>
          </w:tcPr>
          <w:p>
            <w:pPr>
              <w:pStyle w:val="TableContents"/>
              <w:spacing w:before="0" w:after="283"/>
              <w:rPr>
                <w:b/>
              </w:rPr>
            </w:pPr>
            <w:r>
              <w:rPr>
                <w:b/>
              </w:rPr>
              <w:t>ITEM 13.</w:t>
            </w:r>
          </w:p>
        </w:tc>
        <w:tc>
          <w:tcPr>
            <w:tcW w:w="9242" w:type="dxa"/>
            <w:tcBorders/>
            <w:shd w:fill="auto" w:val="clear"/>
            <w:vAlign w:val="center"/>
          </w:tcPr>
          <w:p>
            <w:pPr>
              <w:pStyle w:val="TableContents"/>
              <w:spacing w:before="0" w:after="0"/>
              <w:jc w:val="both"/>
              <w:rPr>
                <w:b/>
              </w:rPr>
            </w:pPr>
            <w:r>
              <w:rPr>
                <w:b/>
              </w:rPr>
              <w:t>CERTAIN RELATIONSHIPS AND RELATED TRANSACTIONS, AND DIRECTOR INDEPENDENCE</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2023 Annual Meeting of Stockholders to be filed with the Securities and Exchange Commission within 120 days of the fiscal year ended December 31, 2022.</w:t>
      </w:r>
    </w:p>
    <w:p>
      <w:pPr>
        <w:pStyle w:val="TextBody"/>
        <w:spacing w:before="0" w:after="0"/>
        <w:jc w:val="both"/>
        <w:rPr/>
      </w:pPr>
      <w:r>
        <w:rPr/>
      </w:r>
    </w:p>
    <w:p>
      <w:pPr>
        <w:pStyle w:val="Normal"/>
        <w:spacing w:before="0" w:after="0"/>
        <w:jc w:val="left"/>
        <w:rPr>
          <w:sz w:val="4"/>
          <w:szCs w:val="4"/>
        </w:rPr>
      </w:pPr>
      <w:r>
        <w:rPr>
          <w:sz w:val="4"/>
          <w:szCs w:val="4"/>
        </w:rPr>
      </w:r>
      <w:bookmarkStart w:id="41" w:name="PRINCIPALACCOUNTINGFEESAN"/>
      <w:bookmarkStart w:id="42" w:name="PRINCIPALACCOUNTINGFEESAN"/>
      <w:bookmarkEnd w:id="42"/>
    </w:p>
    <w:tbl>
      <w:tblPr>
        <w:tblW w:w="6760" w:type="dxa"/>
        <w:jc w:val="left"/>
        <w:tblInd w:w="0" w:type="dxa"/>
        <w:tblCellMar>
          <w:top w:w="0" w:type="dxa"/>
          <w:left w:w="0" w:type="dxa"/>
          <w:bottom w:w="0" w:type="dxa"/>
          <w:right w:w="0" w:type="dxa"/>
        </w:tblCellMar>
      </w:tblPr>
      <w:tblGrid>
        <w:gridCol w:w="1040"/>
        <w:gridCol w:w="5720"/>
      </w:tblGrid>
      <w:tr>
        <w:trPr/>
        <w:tc>
          <w:tcPr>
            <w:tcW w:w="1040" w:type="dxa"/>
            <w:tcBorders/>
            <w:shd w:fill="auto" w:val="clear"/>
            <w:vAlign w:val="center"/>
          </w:tcPr>
          <w:p>
            <w:pPr>
              <w:pStyle w:val="TableContents"/>
              <w:spacing w:before="0" w:after="283"/>
              <w:rPr>
                <w:b/>
              </w:rPr>
            </w:pPr>
            <w:r>
              <w:rPr>
                <w:b/>
              </w:rPr>
              <w:t>ITEM 14.</w:t>
            </w:r>
          </w:p>
        </w:tc>
        <w:tc>
          <w:tcPr>
            <w:tcW w:w="5720" w:type="dxa"/>
            <w:tcBorders/>
            <w:shd w:fill="auto" w:val="clear"/>
            <w:vAlign w:val="center"/>
          </w:tcPr>
          <w:p>
            <w:pPr>
              <w:pStyle w:val="TableContents"/>
              <w:spacing w:before="0" w:after="0"/>
              <w:jc w:val="both"/>
              <w:rPr>
                <w:b/>
              </w:rPr>
            </w:pPr>
            <w:r>
              <w:rPr>
                <w:b/>
              </w:rPr>
              <w:t>PRINCIPAL ACCOUNTING FEES AND SERVICES</w:t>
            </w:r>
          </w:p>
        </w:tc>
      </w:tr>
    </w:tbl>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2023 Annual Meeting of Stockholders to be filed with the Securities and Exchange Commission within 120 days of the fiscal year ended December 31, 2022.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bookmarkStart w:id="43" w:name="PART4"/>
      <w:bookmarkEnd w:id="43"/>
      <w:r>
        <w:rPr>
          <w:rFonts w:ascii="Times New Roman" w:hAnsi="Times New Roman"/>
          <w:b/>
          <w:color w:val="000000"/>
          <w:sz w:val="20"/>
        </w:rPr>
        <w:t>PART IV</w:t>
      </w:r>
    </w:p>
    <w:p>
      <w:pPr>
        <w:pStyle w:val="TextBody"/>
        <w:spacing w:before="0" w:after="0"/>
        <w:jc w:val="both"/>
        <w:rPr/>
      </w:pPr>
      <w:r>
        <w:rPr/>
      </w:r>
    </w:p>
    <w:p>
      <w:pPr>
        <w:pStyle w:val="Normal"/>
        <w:spacing w:before="0" w:after="0"/>
        <w:jc w:val="left"/>
        <w:rPr>
          <w:sz w:val="4"/>
          <w:szCs w:val="4"/>
        </w:rPr>
      </w:pPr>
      <w:r>
        <w:rPr>
          <w:sz w:val="4"/>
          <w:szCs w:val="4"/>
        </w:rPr>
      </w:r>
      <w:bookmarkStart w:id="44" w:name="EXHIBITSANDFINANCIALSTATE"/>
      <w:bookmarkStart w:id="45" w:name="EXHIBITSANDFINANCIALSTATE"/>
      <w:bookmarkEnd w:id="45"/>
    </w:p>
    <w:tbl>
      <w:tblPr>
        <w:tblW w:w="7450" w:type="dxa"/>
        <w:jc w:val="left"/>
        <w:tblInd w:w="0" w:type="dxa"/>
        <w:tblCellMar>
          <w:top w:w="0" w:type="dxa"/>
          <w:left w:w="0" w:type="dxa"/>
          <w:bottom w:w="0" w:type="dxa"/>
          <w:right w:w="0" w:type="dxa"/>
        </w:tblCellMar>
      </w:tblPr>
      <w:tblGrid>
        <w:gridCol w:w="1040"/>
        <w:gridCol w:w="6410"/>
      </w:tblGrid>
      <w:tr>
        <w:trPr/>
        <w:tc>
          <w:tcPr>
            <w:tcW w:w="1040" w:type="dxa"/>
            <w:tcBorders/>
            <w:shd w:fill="auto" w:val="clear"/>
            <w:vAlign w:val="center"/>
          </w:tcPr>
          <w:p>
            <w:pPr>
              <w:pStyle w:val="TableContents"/>
              <w:spacing w:before="0" w:after="283"/>
              <w:rPr>
                <w:b/>
              </w:rPr>
            </w:pPr>
            <w:r>
              <w:rPr>
                <w:b/>
              </w:rPr>
              <w:t>ITEM 15.</w:t>
            </w:r>
          </w:p>
        </w:tc>
        <w:tc>
          <w:tcPr>
            <w:tcW w:w="6410" w:type="dxa"/>
            <w:tcBorders/>
            <w:shd w:fill="auto" w:val="clear"/>
            <w:vAlign w:val="center"/>
          </w:tcPr>
          <w:p>
            <w:pPr>
              <w:pStyle w:val="TableContents"/>
              <w:spacing w:before="0" w:after="0"/>
              <w:jc w:val="both"/>
              <w:rPr>
                <w:b/>
              </w:rPr>
            </w:pPr>
            <w:r>
              <w:rPr>
                <w:b/>
              </w:rPr>
              <w:t>EXHIBITS AND FINANCIAL STATEMENT SCHEDULES</w:t>
            </w:r>
          </w:p>
        </w:tc>
      </w:tr>
    </w:tbl>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(a)(1) Financial Statements</w:t>
      </w:r>
    </w:p>
    <w:p>
      <w:pPr>
        <w:pStyle w:val="TextBody"/>
        <w:spacing w:before="0" w:after="0"/>
        <w:ind w:left="0" w:right="0" w:firstLine="360"/>
        <w:jc w:val="both"/>
        <w:rPr/>
      </w:pPr>
      <w:r>
        <w:rPr/>
      </w:r>
    </w:p>
    <w:p>
      <w:pPr>
        <w:pStyle w:val="TextBody"/>
        <w:spacing w:before="0" w:after="0"/>
        <w:ind w:left="0" w:right="0" w:firstLine="360"/>
        <w:jc w:val="left"/>
        <w:rPr>
          <w:rFonts w:ascii="Times New Roman" w:hAnsi="Times New Roman"/>
          <w:color w:val="000000"/>
          <w:sz w:val="20"/>
        </w:rPr>
      </w:pPr>
      <w:r>
        <w:rPr>
          <w:rFonts w:ascii="Times New Roman" w:hAnsi="Times New Roman"/>
          <w:color w:val="000000"/>
          <w:sz w:val="20"/>
        </w:rPr>
        <w:t>Consolidated balance sheets of STRATA Skin Sciences, Inc. and subsidiary as of December 31, 2022 and 2021, and the related consolidated statements of operations, changes in stockholders’ equity and cash flows for each of the years ended December 31, 2022 and 2021.</w:t>
      </w:r>
    </w:p>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(a)(2) Financial Statement Schedules</w:t>
      </w:r>
    </w:p>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None, as all information required in these schedules is included in the Notes to the Consolidated Financial Statements.</w:t>
      </w:r>
    </w:p>
    <w:p>
      <w:pPr>
        <w:pStyle w:val="TextBody"/>
        <w:spacing w:before="0" w:after="0"/>
        <w:jc w:val="both"/>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(a)(3) Exhibits</w:t>
      </w:r>
    </w:p>
    <w:p>
      <w:pPr>
        <w:pStyle w:val="TextBody"/>
        <w:spacing w:before="0" w:after="0"/>
        <w:jc w:val="left"/>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The exhibits listed under subsection (b) of this Item 15 are hereby incorporated by reference.</w:t>
      </w:r>
    </w:p>
    <w:p>
      <w:pPr>
        <w:pStyle w:val="TextBody"/>
        <w:spacing w:before="0" w:after="0"/>
        <w:jc w:val="left"/>
        <w:rPr/>
      </w:pPr>
      <w:r>
        <w:rPr/>
      </w:r>
    </w:p>
    <w:p>
      <w:pPr>
        <w:pStyle w:val="TextBody"/>
        <w:spacing w:before="0" w:after="0"/>
        <w:ind w:left="0" w:right="0" w:firstLine="360"/>
        <w:jc w:val="both"/>
        <w:rPr>
          <w:rFonts w:ascii="Times New Roman" w:hAnsi="Times New Roman"/>
          <w:color w:val="000000"/>
          <w:sz w:val="20"/>
        </w:rPr>
      </w:pPr>
      <w:r>
        <w:rPr>
          <w:rFonts w:ascii="Times New Roman" w:hAnsi="Times New Roman"/>
          <w:color w:val="000000"/>
          <w:sz w:val="20"/>
        </w:rPr>
        <w:t>(b) Exhibits</w:t>
      </w:r>
    </w:p>
    <w:p>
      <w:pPr>
        <w:pStyle w:val="TextBody"/>
        <w:spacing w:before="0" w:after="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601"/>
        <w:gridCol w:w="60"/>
        <w:gridCol w:w="9544"/>
      </w:tblGrid>
      <w:tr>
        <w:trPr/>
        <w:tc>
          <w:tcPr>
            <w:tcW w:w="601" w:type="dxa"/>
            <w:tcBorders/>
            <w:shd w:fill="CCEEFF" w:val="clear"/>
            <w:vAlign w:val="center"/>
          </w:tcPr>
          <w:p>
            <w:pPr>
              <w:pStyle w:val="TableContents"/>
              <w:spacing w:before="0" w:after="0"/>
              <w:jc w:val="right"/>
              <w:rPr>
                <w:color w:val="000000"/>
              </w:rPr>
            </w:pPr>
            <w:r>
              <w:rPr>
                <w:color w:val="000000"/>
              </w:rPr>
              <w:t>3.1</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ind w:left="0" w:right="195" w:hanging="0"/>
              <w:rPr/>
            </w:pPr>
            <w:hyperlink r:id="rId2">
              <w:r>
                <w:rPr>
                  <w:rStyle w:val="InternetLink"/>
                </w:rPr>
                <w:t>Fifth Amended and Restated Certificate of Incorporation of the Company (Incorporated by reference to Exhibit 3.1 contained in our Registration Statement on Form S-3 (File No. 333-258814), as filed on August 13, 2021).</w:t>
              </w:r>
            </w:hyperlink>
          </w:p>
        </w:tc>
      </w:tr>
      <w:tr>
        <w:trPr/>
        <w:tc>
          <w:tcPr>
            <w:tcW w:w="601" w:type="dxa"/>
            <w:tcBorders/>
            <w:shd w:fill="auto" w:val="clear"/>
            <w:vAlign w:val="center"/>
          </w:tcPr>
          <w:p>
            <w:pPr>
              <w:pStyle w:val="TableContents"/>
              <w:spacing w:before="0" w:after="0"/>
              <w:jc w:val="right"/>
              <w:rPr>
                <w:color w:val="000000"/>
              </w:rPr>
            </w:pPr>
            <w:r>
              <w:rPr>
                <w:color w:val="000000"/>
              </w:rPr>
              <w:t>3.2</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ind w:left="0" w:right="195" w:hanging="0"/>
              <w:rPr/>
            </w:pPr>
            <w:hyperlink r:id="rId3">
              <w:r>
                <w:rPr>
                  <w:rStyle w:val="InternetLink"/>
                </w:rPr>
                <w:t>Fourth Amended and Restated Bylaws of the Company (Incorporated by reference to Exhibit 3.2 contained in our Form 8-K current report as filed on January 8, 2016).</w:t>
              </w:r>
            </w:hyperlink>
          </w:p>
        </w:tc>
      </w:tr>
      <w:tr>
        <w:trPr/>
        <w:tc>
          <w:tcPr>
            <w:tcW w:w="601" w:type="dxa"/>
            <w:tcBorders/>
            <w:shd w:fill="CCEEFF" w:val="clear"/>
            <w:vAlign w:val="center"/>
          </w:tcPr>
          <w:p>
            <w:pPr>
              <w:pStyle w:val="TableContents"/>
              <w:spacing w:before="0" w:after="0"/>
              <w:jc w:val="right"/>
              <w:rPr>
                <w:color w:val="000000"/>
              </w:rPr>
            </w:pPr>
            <w:r>
              <w:rPr>
                <w:color w:val="000000"/>
              </w:rPr>
              <w:t>4.1</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ind w:left="0" w:right="195" w:hanging="0"/>
              <w:rPr/>
            </w:pPr>
            <w:hyperlink r:id="rId4">
              <w:r>
                <w:rPr>
                  <w:rStyle w:val="InternetLink"/>
                </w:rPr>
                <w:t>Specimen Stock Certificate Incorporated by reference to our Registration Statement on Form S-1, as amended (File No. 333-125517), as filed on August 8, 2005).</w:t>
              </w:r>
            </w:hyperlink>
          </w:p>
        </w:tc>
      </w:tr>
      <w:tr>
        <w:trPr/>
        <w:tc>
          <w:tcPr>
            <w:tcW w:w="601" w:type="dxa"/>
            <w:tcBorders/>
            <w:shd w:fill="auto" w:val="clear"/>
            <w:vAlign w:val="center"/>
          </w:tcPr>
          <w:p>
            <w:pPr>
              <w:pStyle w:val="TableContents"/>
              <w:spacing w:before="0" w:after="0"/>
              <w:jc w:val="right"/>
              <w:rPr>
                <w:color w:val="000000"/>
              </w:rPr>
            </w:pPr>
            <w:r>
              <w:rPr>
                <w:color w:val="000000"/>
              </w:rPr>
              <w:t>4.2</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5">
              <w:r>
                <w:rPr>
                  <w:rStyle w:val="InternetLink"/>
                </w:rPr>
                <w:t>Description of Common Stock</w:t>
              </w:r>
            </w:hyperlink>
          </w:p>
        </w:tc>
      </w:tr>
      <w:tr>
        <w:trPr/>
        <w:tc>
          <w:tcPr>
            <w:tcW w:w="601" w:type="dxa"/>
            <w:tcBorders/>
            <w:shd w:fill="CCEEFF" w:val="clear"/>
            <w:vAlign w:val="center"/>
          </w:tcPr>
          <w:p>
            <w:pPr>
              <w:pStyle w:val="TableContents"/>
              <w:spacing w:before="0" w:after="0"/>
              <w:jc w:val="right"/>
              <w:rPr>
                <w:color w:val="000000"/>
              </w:rPr>
            </w:pPr>
            <w:r>
              <w:rPr>
                <w:color w:val="000000"/>
              </w:rPr>
              <w:t>10.1*</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6">
              <w:r>
                <w:rPr>
                  <w:rStyle w:val="InternetLink"/>
                </w:rPr>
                <w:t>Form of Indemnification Agreement for directors and executive officers. (Incorporated by reference to our Annual Report on Form 10-K for the year ended December 31, 2013 filed on March 17, 2014).</w:t>
              </w:r>
            </w:hyperlink>
          </w:p>
        </w:tc>
      </w:tr>
      <w:tr>
        <w:trPr/>
        <w:tc>
          <w:tcPr>
            <w:tcW w:w="601" w:type="dxa"/>
            <w:tcBorders/>
            <w:shd w:fill="auto" w:val="clear"/>
            <w:vAlign w:val="center"/>
          </w:tcPr>
          <w:p>
            <w:pPr>
              <w:pStyle w:val="TableContents"/>
              <w:spacing w:before="0" w:after="0"/>
              <w:jc w:val="right"/>
              <w:rPr>
                <w:color w:val="000000"/>
              </w:rPr>
            </w:pPr>
            <w:r>
              <w:rPr>
                <w:color w:val="000000"/>
              </w:rPr>
              <w:t>10.2*</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7">
              <w:r>
                <w:rPr>
                  <w:rStyle w:val="InternetLink"/>
                </w:rPr>
                <w:t>2005 Stock Incentive Plan (Incorporated by reference to our Registration Statement on Form S-1, as amended (File No. 333-125517), filed on August 8, 2005.</w:t>
              </w:r>
            </w:hyperlink>
          </w:p>
        </w:tc>
      </w:tr>
      <w:tr>
        <w:trPr/>
        <w:tc>
          <w:tcPr>
            <w:tcW w:w="601" w:type="dxa"/>
            <w:tcBorders/>
            <w:shd w:fill="CCEEFF" w:val="clear"/>
            <w:vAlign w:val="center"/>
          </w:tcPr>
          <w:p>
            <w:pPr>
              <w:pStyle w:val="TableContents"/>
              <w:spacing w:before="0" w:after="0"/>
              <w:jc w:val="right"/>
              <w:rPr>
                <w:color w:val="000000"/>
              </w:rPr>
            </w:pPr>
            <w:r>
              <w:rPr>
                <w:color w:val="000000"/>
              </w:rPr>
              <w:t>10.3*</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8">
              <w:r>
                <w:rPr>
                  <w:rStyle w:val="InternetLink"/>
                </w:rPr>
                <w:t>Form of Incentive Stock Option Agreement. (Incorporated by reference to our Annual Report on Form 10-K for the year ended December 31, 2015 filed on March 15, 2016)</w:t>
              </w:r>
            </w:hyperlink>
          </w:p>
        </w:tc>
      </w:tr>
      <w:tr>
        <w:trPr/>
        <w:tc>
          <w:tcPr>
            <w:tcW w:w="601" w:type="dxa"/>
            <w:tcBorders/>
            <w:shd w:fill="auto" w:val="clear"/>
            <w:vAlign w:val="center"/>
          </w:tcPr>
          <w:p>
            <w:pPr>
              <w:pStyle w:val="TableContents"/>
              <w:spacing w:before="0" w:after="0"/>
              <w:jc w:val="right"/>
              <w:rPr>
                <w:color w:val="000000"/>
              </w:rPr>
            </w:pPr>
            <w:r>
              <w:rPr>
                <w:color w:val="000000"/>
              </w:rPr>
              <w:t>10.4*</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9">
              <w:r>
                <w:rPr>
                  <w:rStyle w:val="InternetLink"/>
                </w:rPr>
                <w:t>Form of Nonqualified Stock Option Agreement. (Incorporated by reference to our Annual Report on Form 10-K for the year ended December 31, 2015 filed on March 15, 2016)</w:t>
              </w:r>
            </w:hyperlink>
          </w:p>
        </w:tc>
      </w:tr>
      <w:tr>
        <w:trPr/>
        <w:tc>
          <w:tcPr>
            <w:tcW w:w="601" w:type="dxa"/>
            <w:tcBorders/>
            <w:shd w:fill="CCEEFF" w:val="clear"/>
            <w:vAlign w:val="center"/>
          </w:tcPr>
          <w:p>
            <w:pPr>
              <w:pStyle w:val="TableContents"/>
              <w:spacing w:before="0" w:after="0"/>
              <w:jc w:val="right"/>
              <w:rPr>
                <w:color w:val="000000"/>
              </w:rPr>
            </w:pPr>
            <w:r>
              <w:rPr>
                <w:color w:val="000000"/>
              </w:rPr>
              <w:t>10.5*</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10">
              <w:r>
                <w:rPr>
                  <w:rStyle w:val="InternetLink"/>
                </w:rPr>
                <w:t>STRATA Skin Sciences 2016 Omnibus Option Plan. (Incorporated by reference to our Form 10-Q quarterly report for the quarter ended September 30, 2015 filed on November 14, 2016).</w:t>
              </w:r>
            </w:hyperlink>
          </w:p>
        </w:tc>
      </w:tr>
      <w:tr>
        <w:trPr/>
        <w:tc>
          <w:tcPr>
            <w:tcW w:w="601" w:type="dxa"/>
            <w:tcBorders/>
            <w:shd w:fill="auto" w:val="clear"/>
            <w:vAlign w:val="center"/>
          </w:tcPr>
          <w:p>
            <w:pPr>
              <w:pStyle w:val="TableContents"/>
              <w:spacing w:before="0" w:after="0"/>
              <w:jc w:val="right"/>
              <w:rPr>
                <w:color w:val="000000"/>
              </w:rPr>
            </w:pPr>
            <w:r>
              <w:rPr>
                <w:color w:val="000000"/>
              </w:rPr>
              <w:t>10.6</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11">
              <w:r>
                <w:rPr>
                  <w:rStyle w:val="InternetLink"/>
                </w:rPr>
                <w:t>Securities Purchase Agreement dated as of March 30, 2018, between the Company and Accelmed (Incorporated by reference to Exhibit 10.1 contained in our Current Report on Form 8-K, as filed on April 2, 2018)</w:t>
              </w:r>
            </w:hyperlink>
          </w:p>
        </w:tc>
      </w:tr>
      <w:tr>
        <w:trPr/>
        <w:tc>
          <w:tcPr>
            <w:tcW w:w="601" w:type="dxa"/>
            <w:tcBorders/>
            <w:shd w:fill="CCEEFF" w:val="clear"/>
            <w:vAlign w:val="center"/>
          </w:tcPr>
          <w:p>
            <w:pPr>
              <w:pStyle w:val="TableContents"/>
              <w:spacing w:before="0" w:after="0"/>
              <w:jc w:val="right"/>
              <w:rPr>
                <w:color w:val="000000"/>
              </w:rPr>
            </w:pPr>
            <w:r>
              <w:rPr>
                <w:color w:val="000000"/>
              </w:rPr>
              <w:t>10.7</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12">
              <w:r>
                <w:rPr>
                  <w:rStyle w:val="InternetLink"/>
                </w:rPr>
                <w:t>Securities Purchase Agreement dated as of March 30, 2018, between the Company and Broadfin (Incorporated by reference to Exhibit 10.2 contained in our Current Report on Form 8-K, as filed on April 2, 2018).</w:t>
              </w:r>
            </w:hyperlink>
          </w:p>
        </w:tc>
      </w:tr>
      <w:tr>
        <w:trPr/>
        <w:tc>
          <w:tcPr>
            <w:tcW w:w="601" w:type="dxa"/>
            <w:tcBorders/>
            <w:shd w:fill="auto" w:val="clear"/>
            <w:vAlign w:val="center"/>
          </w:tcPr>
          <w:p>
            <w:pPr>
              <w:pStyle w:val="TableContents"/>
              <w:spacing w:before="0" w:after="0"/>
              <w:jc w:val="right"/>
              <w:rPr>
                <w:color w:val="000000"/>
              </w:rPr>
            </w:pPr>
            <w:r>
              <w:rPr>
                <w:color w:val="000000"/>
              </w:rPr>
              <w:t>10.8</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13">
              <w:r>
                <w:rPr>
                  <w:rStyle w:val="InternetLink"/>
                </w:rPr>
                <w:t>Securities Purchase Agreement dated as of March 30, 2018, between the Company and Sabby (Incorporated by reference to Exhibit 10.3 contained in our Current Report on Form 8-K, as filed on April 2, 2018).</w:t>
              </w:r>
            </w:hyperlink>
          </w:p>
        </w:tc>
      </w:tr>
      <w:tr>
        <w:trPr/>
        <w:tc>
          <w:tcPr>
            <w:tcW w:w="601" w:type="dxa"/>
            <w:tcBorders/>
            <w:shd w:fill="CCEEFF" w:val="clear"/>
            <w:vAlign w:val="center"/>
          </w:tcPr>
          <w:p>
            <w:pPr>
              <w:pStyle w:val="TableContents"/>
              <w:spacing w:before="0" w:after="0"/>
              <w:jc w:val="right"/>
              <w:rPr>
                <w:color w:val="000000"/>
              </w:rPr>
            </w:pPr>
            <w:r>
              <w:rPr>
                <w:color w:val="000000"/>
              </w:rPr>
              <w:t>10.9</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14">
              <w:r>
                <w:rPr>
                  <w:rStyle w:val="InternetLink"/>
                </w:rPr>
                <w:t>Form of Registration Rights Agreement (Incorporated by reference to Exhibit 10.4 contained in our Current Report on Form 8-K, as filed on April 2, 2018).</w:t>
              </w:r>
            </w:hyperlink>
          </w:p>
        </w:tc>
      </w:tr>
      <w:tr>
        <w:trPr/>
        <w:tc>
          <w:tcPr>
            <w:tcW w:w="601" w:type="dxa"/>
            <w:tcBorders/>
            <w:shd w:fill="auto" w:val="clear"/>
            <w:vAlign w:val="center"/>
          </w:tcPr>
          <w:p>
            <w:pPr>
              <w:pStyle w:val="TableContents"/>
              <w:spacing w:before="0" w:after="0"/>
              <w:jc w:val="right"/>
              <w:rPr>
                <w:color w:val="000000"/>
              </w:rPr>
            </w:pPr>
            <w:r>
              <w:rPr>
                <w:color w:val="000000"/>
              </w:rPr>
              <w:t>10.10</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15">
              <w:r>
                <w:rPr>
                  <w:rStyle w:val="InternetLink"/>
                </w:rPr>
                <w:t>Form of Leak-Out Agreement (Incorporated by reference to Exhibit 10.5 contained in our Current Report on Form 8-K, as filed on April 2, 2018).</w:t>
              </w:r>
            </w:hyperlink>
          </w:p>
        </w:tc>
      </w:tr>
      <w:tr>
        <w:trPr/>
        <w:tc>
          <w:tcPr>
            <w:tcW w:w="601" w:type="dxa"/>
            <w:tcBorders/>
            <w:shd w:fill="CCEEFF" w:val="clear"/>
            <w:vAlign w:val="center"/>
          </w:tcPr>
          <w:p>
            <w:pPr>
              <w:pStyle w:val="TableContents"/>
              <w:spacing w:before="0" w:after="0"/>
              <w:jc w:val="right"/>
              <w:rPr>
                <w:color w:val="000000"/>
              </w:rPr>
            </w:pPr>
            <w:r>
              <w:rPr>
                <w:color w:val="000000"/>
              </w:rPr>
              <w:t>10.11</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16">
              <w:r>
                <w:rPr>
                  <w:rStyle w:val="InternetLink"/>
                </w:rPr>
                <w:t>Form of Subscription Agreement (Incorporated by reference to Exhibit 10.7 contained in our Current Report on Form 8-K, as filed on April 2, 2018).</w:t>
              </w:r>
            </w:hyperlink>
          </w:p>
        </w:tc>
      </w:tr>
      <w:tr>
        <w:trPr/>
        <w:tc>
          <w:tcPr>
            <w:tcW w:w="601" w:type="dxa"/>
            <w:tcBorders/>
            <w:shd w:fill="auto" w:val="clear"/>
            <w:vAlign w:val="center"/>
          </w:tcPr>
          <w:p>
            <w:pPr>
              <w:pStyle w:val="TableContents"/>
              <w:spacing w:before="0" w:after="0"/>
              <w:jc w:val="right"/>
              <w:rPr>
                <w:color w:val="000000"/>
              </w:rPr>
            </w:pPr>
            <w:r>
              <w:rPr>
                <w:color w:val="000000"/>
              </w:rPr>
              <w:t>10.12*</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17">
              <w:r>
                <w:rPr>
                  <w:rStyle w:val="InternetLink"/>
                </w:rPr>
                <w:t>Amended and Restated Strata Skin Sciences, Inc. 2016 Omnibus Incentive Plan (Incorporated by reference to Appendix A to our Definitive Proxy Statement on Schedule 14A, as filed on June 2, 2021).</w:t>
              </w:r>
            </w:hyperlink>
          </w:p>
        </w:tc>
      </w:tr>
      <w:tr>
        <w:trPr/>
        <w:tc>
          <w:tcPr>
            <w:tcW w:w="601" w:type="dxa"/>
            <w:tcBorders/>
            <w:shd w:fill="CCEEFF" w:val="clear"/>
            <w:vAlign w:val="center"/>
          </w:tcPr>
          <w:p>
            <w:pPr>
              <w:pStyle w:val="TableContents"/>
              <w:spacing w:before="0" w:after="0"/>
              <w:jc w:val="right"/>
              <w:rPr>
                <w:color w:val="000000"/>
              </w:rPr>
            </w:pPr>
            <w:r>
              <w:rPr>
                <w:color w:val="000000"/>
              </w:rPr>
              <w:t>10.13</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18">
              <w:r>
                <w:rPr>
                  <w:rStyle w:val="InternetLink"/>
                </w:rPr>
                <w:t>Sublease Agreement between Luigi Bormioli Corporation and the Company for office space at 5 Walnut Grove Drive, Horsham, PA 19044 (Incorporated by reference to Exhibit 10.1 contained in our Current Report on Form 8-K, as filed on October 3, 2018).</w:t>
              </w:r>
            </w:hyperlink>
          </w:p>
        </w:tc>
      </w:tr>
      <w:tr>
        <w:trPr/>
        <w:tc>
          <w:tcPr>
            <w:tcW w:w="601" w:type="dxa"/>
            <w:tcBorders/>
            <w:shd w:fill="auto" w:val="clear"/>
            <w:vAlign w:val="center"/>
          </w:tcPr>
          <w:p>
            <w:pPr>
              <w:pStyle w:val="TableContents"/>
              <w:spacing w:before="0" w:after="0"/>
              <w:jc w:val="right"/>
              <w:rPr>
                <w:color w:val="000000"/>
              </w:rPr>
            </w:pPr>
            <w:r>
              <w:rPr>
                <w:color w:val="000000"/>
              </w:rPr>
              <w:t>10.14</w:t>
            </w:r>
          </w:p>
        </w:tc>
        <w:tc>
          <w:tcPr>
            <w:tcW w:w="60" w:type="dxa"/>
            <w:tcBorders/>
            <w:shd w:fill="auto" w:val="clear"/>
            <w:vAlign w:val="center"/>
          </w:tcPr>
          <w:p>
            <w:pPr>
              <w:pStyle w:val="TableContents"/>
              <w:spacing w:before="0" w:after="283"/>
              <w:rPr/>
            </w:pPr>
            <w:r>
              <w:rPr/>
              <w:t> </w:t>
            </w:r>
          </w:p>
        </w:tc>
        <w:tc>
          <w:tcPr>
            <w:tcW w:w="9544" w:type="dxa"/>
            <w:tcBorders/>
            <w:shd w:fill="auto" w:val="clear"/>
            <w:vAlign w:val="center"/>
          </w:tcPr>
          <w:p>
            <w:pPr>
              <w:pStyle w:val="TableContents"/>
              <w:spacing w:before="0" w:after="0"/>
              <w:rPr/>
            </w:pPr>
            <w:hyperlink r:id="rId19">
              <w:r>
                <w:rPr>
                  <w:rStyle w:val="InternetLink"/>
                </w:rPr>
                <w:t>Settlement Agreement and Release, dated as of August 10, 2020, between STRATA Skin Sciences, Inc. and Ra Medical Systems, Inc. (incorporated by reference to Exhibit 10.1 to our Current Report on Form 8-K filed on August 11, 2020)</w:t>
              </w:r>
            </w:hyperlink>
          </w:p>
        </w:tc>
      </w:tr>
      <w:tr>
        <w:trPr/>
        <w:tc>
          <w:tcPr>
            <w:tcW w:w="601" w:type="dxa"/>
            <w:tcBorders/>
            <w:shd w:fill="CCEEFF" w:val="clear"/>
            <w:vAlign w:val="center"/>
          </w:tcPr>
          <w:p>
            <w:pPr>
              <w:pStyle w:val="TableContents"/>
              <w:spacing w:before="0" w:after="0"/>
              <w:jc w:val="right"/>
              <w:rPr>
                <w:color w:val="000000"/>
              </w:rPr>
            </w:pPr>
            <w:r>
              <w:rPr>
                <w:color w:val="000000"/>
              </w:rPr>
              <w:t>10.15*</w:t>
            </w:r>
          </w:p>
        </w:tc>
        <w:tc>
          <w:tcPr>
            <w:tcW w:w="60" w:type="dxa"/>
            <w:tcBorders/>
            <w:shd w:fill="CCEEFF" w:val="clear"/>
            <w:vAlign w:val="center"/>
          </w:tcPr>
          <w:p>
            <w:pPr>
              <w:pStyle w:val="TableContents"/>
              <w:spacing w:before="0" w:after="283"/>
              <w:rPr/>
            </w:pPr>
            <w:r>
              <w:rPr/>
              <w:t> </w:t>
            </w:r>
          </w:p>
        </w:tc>
        <w:tc>
          <w:tcPr>
            <w:tcW w:w="9544" w:type="dxa"/>
            <w:tcBorders/>
            <w:shd w:fill="CCEEFF" w:val="clear"/>
            <w:vAlign w:val="center"/>
          </w:tcPr>
          <w:p>
            <w:pPr>
              <w:pStyle w:val="TableContents"/>
              <w:spacing w:before="0" w:after="0"/>
              <w:rPr/>
            </w:pPr>
            <w:hyperlink r:id="rId20">
              <w:r>
                <w:rPr>
                  <w:rStyle w:val="InternetLink"/>
                </w:rPr>
                <w:t>Employment Agreement, dated as of March 1, 2021, between Robert Moccia and STRATA Skin Sciences, Inc. (incorporated by reference to Exhibit 10.3 to our Current Report on Form 8-K filed on March 1, 2021)</w:t>
              </w:r>
            </w:hyperlink>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tbl>
      <w:tblPr>
        <w:tblW w:w="10205" w:type="dxa"/>
        <w:jc w:val="left"/>
        <w:tblInd w:w="0" w:type="dxa"/>
        <w:tblCellMar>
          <w:top w:w="0" w:type="dxa"/>
          <w:left w:w="0" w:type="dxa"/>
          <w:bottom w:w="0" w:type="dxa"/>
          <w:right w:w="0" w:type="dxa"/>
        </w:tblCellMar>
      </w:tblPr>
      <w:tblGrid>
        <w:gridCol w:w="609"/>
        <w:gridCol w:w="60"/>
        <w:gridCol w:w="9536"/>
      </w:tblGrid>
      <w:tr>
        <w:trPr/>
        <w:tc>
          <w:tcPr>
            <w:tcW w:w="609" w:type="dxa"/>
            <w:tcBorders/>
            <w:shd w:fill="CCEEFF" w:val="clear"/>
            <w:vAlign w:val="center"/>
          </w:tcPr>
          <w:p>
            <w:pPr>
              <w:pStyle w:val="TableContents"/>
              <w:spacing w:before="0" w:after="0"/>
              <w:jc w:val="right"/>
              <w:rPr>
                <w:color w:val="000000"/>
              </w:rPr>
            </w:pPr>
            <w:r>
              <w:rPr>
                <w:color w:val="000000"/>
              </w:rPr>
              <w:t>10.16*</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21">
              <w:r>
                <w:rPr>
                  <w:rStyle w:val="InternetLink"/>
                </w:rPr>
                <w:t>Form of Stock Option Agreement, dated as of March 1, 2021, between Robert Moccia and STRATA Skin Sciences, Inc. (incorporated by reference to Exhibit 10.4 to our Current Report on Form 8-K filed on March 1, 2021)</w:t>
              </w:r>
            </w:hyperlink>
          </w:p>
        </w:tc>
      </w:tr>
      <w:tr>
        <w:trPr/>
        <w:tc>
          <w:tcPr>
            <w:tcW w:w="609" w:type="dxa"/>
            <w:tcBorders/>
            <w:shd w:fill="auto" w:val="clear"/>
            <w:vAlign w:val="center"/>
          </w:tcPr>
          <w:p>
            <w:pPr>
              <w:pStyle w:val="TableContents"/>
              <w:spacing w:before="0" w:after="0"/>
              <w:jc w:val="right"/>
              <w:rPr>
                <w:color w:val="000000"/>
              </w:rPr>
            </w:pPr>
            <w:r>
              <w:rPr>
                <w:color w:val="000000"/>
              </w:rPr>
              <w:t>10.17*</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22">
              <w:r>
                <w:rPr>
                  <w:rStyle w:val="InternetLink"/>
                </w:rPr>
                <w:t>Employment Agreement, dated as of October 4, 2021, between Christopher Lesovitz and STRATA Skin Sciences, Inc. (incorporated by reference to Exhibit 10.5 to our Current Report on Form 8-K filed on October 4, 2021)</w:t>
              </w:r>
            </w:hyperlink>
          </w:p>
        </w:tc>
      </w:tr>
      <w:tr>
        <w:trPr/>
        <w:tc>
          <w:tcPr>
            <w:tcW w:w="609" w:type="dxa"/>
            <w:tcBorders/>
            <w:shd w:fill="CCEEFF" w:val="clear"/>
            <w:vAlign w:val="center"/>
          </w:tcPr>
          <w:p>
            <w:pPr>
              <w:pStyle w:val="TableContents"/>
              <w:spacing w:before="0" w:after="0"/>
              <w:jc w:val="right"/>
              <w:rPr>
                <w:color w:val="000000"/>
              </w:rPr>
            </w:pPr>
            <w:r>
              <w:rPr>
                <w:color w:val="000000"/>
              </w:rPr>
              <w:t>10.18</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23">
              <w:r>
                <w:rPr>
                  <w:rStyle w:val="InternetLink"/>
                </w:rPr>
                <w:t>Form of Equity Distribution Agreement, dated October 15, 2021, between STRATA Skin Sciences, Inc. and Ladenburg Thalmann &amp; Co. Inc. (incorporated by reference to Exhibit 10.1 to our Current Report on Form 8-K filed on October 18, 2021)</w:t>
              </w:r>
            </w:hyperlink>
          </w:p>
        </w:tc>
      </w:tr>
      <w:tr>
        <w:trPr/>
        <w:tc>
          <w:tcPr>
            <w:tcW w:w="609" w:type="dxa"/>
            <w:tcBorders/>
            <w:shd w:fill="auto" w:val="clear"/>
            <w:vAlign w:val="center"/>
          </w:tcPr>
          <w:p>
            <w:pPr>
              <w:pStyle w:val="TableContents"/>
              <w:spacing w:before="0" w:after="0"/>
              <w:jc w:val="right"/>
              <w:rPr>
                <w:color w:val="000000"/>
              </w:rPr>
            </w:pPr>
            <w:r>
              <w:rPr>
                <w:color w:val="000000"/>
              </w:rPr>
              <w:t>10.19*</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24">
              <w:r>
                <w:rPr>
                  <w:rStyle w:val="InternetLink"/>
                </w:rPr>
                <w:t>Form of management change of control severance agreement (incorporated by reference to Exhibit 10.79 to our Annual Report on Form 10-K for the year ended December 31, 2021).</w:t>
              </w:r>
            </w:hyperlink>
          </w:p>
        </w:tc>
      </w:tr>
      <w:tr>
        <w:trPr/>
        <w:tc>
          <w:tcPr>
            <w:tcW w:w="609" w:type="dxa"/>
            <w:tcBorders/>
            <w:shd w:fill="CCEEFF" w:val="clear"/>
            <w:vAlign w:val="center"/>
          </w:tcPr>
          <w:p>
            <w:pPr>
              <w:pStyle w:val="TableContents"/>
              <w:spacing w:before="0" w:after="0"/>
              <w:jc w:val="right"/>
              <w:rPr>
                <w:color w:val="000000"/>
              </w:rPr>
            </w:pPr>
            <w:r>
              <w:rPr>
                <w:color w:val="000000"/>
              </w:rPr>
              <w:t>10.20</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25">
              <w:r>
                <w:rPr>
                  <w:rStyle w:val="InternetLink"/>
                </w:rPr>
                <w:t>Credit and Security Agreement, dated as of September 30, 2021, among STRATA Skin Sciences, Inc., MidCap Financial Trust, as administrative agent, and the lenders identified therein. (incorporated by reference to Exhibit 10.1 to our Current Report on Form 8-K filed on October 4, 2021)</w:t>
              </w:r>
            </w:hyperlink>
          </w:p>
        </w:tc>
      </w:tr>
      <w:tr>
        <w:trPr/>
        <w:tc>
          <w:tcPr>
            <w:tcW w:w="609" w:type="dxa"/>
            <w:tcBorders/>
            <w:shd w:fill="auto" w:val="clear"/>
            <w:vAlign w:val="center"/>
          </w:tcPr>
          <w:p>
            <w:pPr>
              <w:pStyle w:val="TableContents"/>
              <w:spacing w:before="0" w:after="0"/>
              <w:jc w:val="right"/>
              <w:rPr>
                <w:color w:val="000000"/>
              </w:rPr>
            </w:pPr>
            <w:r>
              <w:rPr>
                <w:color w:val="000000"/>
              </w:rPr>
              <w:t>10.21</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26">
              <w:r>
                <w:rPr>
                  <w:rStyle w:val="InternetLink"/>
                </w:rPr>
                <w:t>Intellectual Property Security Agreement, dated as of September 30, 2021, between STRATA Skin Sciences, Inc. and MidCap Financial Trust. (incorporated by reference to Exhibit 10.2 to our Current Report on Form 8-K filed on October 4, 2021)</w:t>
              </w:r>
            </w:hyperlink>
          </w:p>
        </w:tc>
      </w:tr>
      <w:tr>
        <w:trPr/>
        <w:tc>
          <w:tcPr>
            <w:tcW w:w="609" w:type="dxa"/>
            <w:tcBorders/>
            <w:shd w:fill="CCEEFF" w:val="clear"/>
            <w:vAlign w:val="center"/>
          </w:tcPr>
          <w:p>
            <w:pPr>
              <w:pStyle w:val="TableContents"/>
              <w:spacing w:before="0" w:after="0"/>
              <w:jc w:val="right"/>
              <w:rPr>
                <w:color w:val="000000"/>
              </w:rPr>
            </w:pPr>
            <w:r>
              <w:rPr>
                <w:color w:val="000000"/>
              </w:rPr>
              <w:t>10.22</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27">
              <w:r>
                <w:rPr>
                  <w:rStyle w:val="InternetLink"/>
                </w:rPr>
                <w:t>Warrant Agreement to Purchase Shares of the Common Stock of STRATA Skin Sciences, Inc., dated as of September 30, 2021, between STRATA Skin Sciences, Inc. and MidCap Funding XXVII Trust. (incorporated by reference to Exhibit 10.3 to our Current Report on Form 8-K filed on October 4, 2021)</w:t>
              </w:r>
            </w:hyperlink>
          </w:p>
        </w:tc>
      </w:tr>
      <w:tr>
        <w:trPr/>
        <w:tc>
          <w:tcPr>
            <w:tcW w:w="609" w:type="dxa"/>
            <w:tcBorders/>
            <w:shd w:fill="auto" w:val="clear"/>
            <w:vAlign w:val="center"/>
          </w:tcPr>
          <w:p>
            <w:pPr>
              <w:pStyle w:val="TableContents"/>
              <w:spacing w:before="0" w:after="0"/>
              <w:jc w:val="right"/>
              <w:rPr>
                <w:color w:val="000000"/>
              </w:rPr>
            </w:pPr>
            <w:r>
              <w:rPr>
                <w:color w:val="000000"/>
              </w:rPr>
              <w:t>10.23</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28">
              <w:r>
                <w:rPr>
                  <w:rStyle w:val="InternetLink"/>
                </w:rPr>
                <w:t>Registration Rights Agreement, dated as of September 30, 2021, between STRATA Skin Sciences, Inc. and MidCap Funding XXVII Trust (incorporated by reference to Exhibit 10.4 to our Current Report on Form 8-K filed on October 4, 2021)</w:t>
              </w:r>
            </w:hyperlink>
          </w:p>
        </w:tc>
      </w:tr>
      <w:tr>
        <w:trPr/>
        <w:tc>
          <w:tcPr>
            <w:tcW w:w="609" w:type="dxa"/>
            <w:tcBorders/>
            <w:shd w:fill="CCEEFF" w:val="clear"/>
            <w:vAlign w:val="center"/>
          </w:tcPr>
          <w:p>
            <w:pPr>
              <w:pStyle w:val="TableContents"/>
              <w:spacing w:before="0" w:after="0"/>
              <w:jc w:val="right"/>
              <w:rPr>
                <w:color w:val="000000"/>
              </w:rPr>
            </w:pPr>
            <w:r>
              <w:rPr>
                <w:color w:val="000000"/>
              </w:rPr>
              <w:t>10.24</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29">
              <w:r>
                <w:rPr>
                  <w:rStyle w:val="InternetLink"/>
                </w:rPr>
                <w:t>Limited Consent and Amendment No. 1 to Credit and Security Agreement, between STRATA Skin Sciences, Inc. and MidCap Financial Trust as Agent for Lenders (incorporated by reference to Exhibit 10.84 to our Annual Report on Form 10-K for the year ended December 31, 2021).</w:t>
              </w:r>
            </w:hyperlink>
          </w:p>
        </w:tc>
      </w:tr>
      <w:tr>
        <w:trPr/>
        <w:tc>
          <w:tcPr>
            <w:tcW w:w="609" w:type="dxa"/>
            <w:tcBorders/>
            <w:shd w:fill="auto" w:val="clear"/>
            <w:vAlign w:val="center"/>
          </w:tcPr>
          <w:p>
            <w:pPr>
              <w:pStyle w:val="TableContents"/>
              <w:spacing w:before="0" w:after="0"/>
              <w:jc w:val="right"/>
              <w:rPr>
                <w:color w:val="000000"/>
              </w:rPr>
            </w:pPr>
            <w:r>
              <w:rPr>
                <w:color w:val="000000"/>
              </w:rPr>
              <w:t>10.25</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w:anchor="brhc10049943_ex10-25.htm">
              <w:r>
                <w:rPr>
                  <w:rStyle w:val="InternetLink"/>
                </w:rPr>
                <w:t>Amendment No. 2 to Credit and Security Agreement, dated as of September 6, 2022, between STRATA Skin Sciences, Inc. and MidCap Financial Trust as Agent for Lenders (attached hereto).</w:t>
              </w:r>
            </w:hyperlink>
          </w:p>
        </w:tc>
      </w:tr>
      <w:tr>
        <w:trPr/>
        <w:tc>
          <w:tcPr>
            <w:tcW w:w="609" w:type="dxa"/>
            <w:tcBorders/>
            <w:shd w:fill="CCEEFF" w:val="clear"/>
            <w:vAlign w:val="center"/>
          </w:tcPr>
          <w:p>
            <w:pPr>
              <w:pStyle w:val="TableContents"/>
              <w:spacing w:before="0" w:after="0"/>
              <w:jc w:val="right"/>
              <w:rPr>
                <w:color w:val="000000"/>
              </w:rPr>
            </w:pPr>
            <w:r>
              <w:rPr>
                <w:color w:val="000000"/>
              </w:rPr>
              <w:t>10.26</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30">
              <w:r>
                <w:rPr>
                  <w:rStyle w:val="InternetLink"/>
                </w:rPr>
                <w:t>Asset Purchase Agreement, dated as of January 10, 2022, between STRATA Skin Sciences, Inc., Theravant Corporation and certain other parties thereto (incorporated by reference as Exhibit 10.1 to our Current Report on Form 8-K dated January 10, 2022)</w:t>
              </w:r>
            </w:hyperlink>
          </w:p>
        </w:tc>
      </w:tr>
      <w:tr>
        <w:trPr/>
        <w:tc>
          <w:tcPr>
            <w:tcW w:w="609" w:type="dxa"/>
            <w:tcBorders/>
            <w:shd w:fill="auto" w:val="clear"/>
            <w:vAlign w:val="center"/>
          </w:tcPr>
          <w:p>
            <w:pPr>
              <w:pStyle w:val="TableContents"/>
              <w:spacing w:before="0" w:after="0"/>
              <w:jc w:val="right"/>
              <w:rPr>
                <w:color w:val="000000"/>
              </w:rPr>
            </w:pPr>
            <w:r>
              <w:rPr>
                <w:color w:val="000000"/>
              </w:rPr>
              <w:t>10.27</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31">
              <w:r>
                <w:rPr>
                  <w:rStyle w:val="InternetLink"/>
                </w:rPr>
                <w:t>Form of Development Agreement by and between Theravant Corporation and STRATA Skin Sciences, Inc. (incorporation by reference to Exhibit 10.2 to our Quarterly Report on Form 10-Q for the period ended March 31, 2022)</w:t>
              </w:r>
            </w:hyperlink>
          </w:p>
        </w:tc>
      </w:tr>
      <w:tr>
        <w:trPr/>
        <w:tc>
          <w:tcPr>
            <w:tcW w:w="609" w:type="dxa"/>
            <w:tcBorders/>
            <w:shd w:fill="CCEEFF" w:val="clear"/>
            <w:vAlign w:val="center"/>
          </w:tcPr>
          <w:p>
            <w:pPr>
              <w:pStyle w:val="TableContents"/>
              <w:spacing w:before="0" w:after="0"/>
              <w:jc w:val="right"/>
              <w:rPr>
                <w:color w:val="000000"/>
              </w:rPr>
            </w:pPr>
            <w:r>
              <w:rPr>
                <w:color w:val="000000"/>
              </w:rPr>
              <w:t>10.28</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32">
              <w:r>
                <w:rPr>
                  <w:rStyle w:val="InternetLink"/>
                </w:rPr>
                <w:t>Asset Purchase Agreement, dated as of August 16, 2021, between STRATA Skin Sciences, Inc. and Ra Medical Systems, Inc. (incorporated by reference to Exhibit 10.1 to our Current Report on Form 8-K filed on August 17, 2021)</w:t>
              </w:r>
            </w:hyperlink>
          </w:p>
        </w:tc>
      </w:tr>
      <w:tr>
        <w:trPr/>
        <w:tc>
          <w:tcPr>
            <w:tcW w:w="609" w:type="dxa"/>
            <w:tcBorders/>
            <w:shd w:fill="auto" w:val="clear"/>
            <w:vAlign w:val="center"/>
          </w:tcPr>
          <w:p>
            <w:pPr>
              <w:pStyle w:val="TableContents"/>
              <w:spacing w:before="0" w:after="0"/>
              <w:jc w:val="right"/>
              <w:rPr>
                <w:color w:val="000000"/>
              </w:rPr>
            </w:pPr>
            <w:r>
              <w:rPr>
                <w:color w:val="000000"/>
              </w:rPr>
              <w:t>10.29*</w:t>
            </w:r>
          </w:p>
        </w:tc>
        <w:tc>
          <w:tcPr>
            <w:tcW w:w="60" w:type="dxa"/>
            <w:tcBorders/>
            <w:shd w:fill="auto" w:val="clear"/>
            <w:vAlign w:val="center"/>
          </w:tcPr>
          <w:p>
            <w:pPr>
              <w:pStyle w:val="TableContents"/>
              <w:spacing w:before="0" w:after="283"/>
              <w:rPr/>
            </w:pPr>
            <w:r>
              <w:rPr/>
              <w:t> </w:t>
            </w:r>
          </w:p>
        </w:tc>
        <w:tc>
          <w:tcPr>
            <w:tcW w:w="9536" w:type="dxa"/>
            <w:tcBorders/>
            <w:shd w:fill="auto" w:val="clear"/>
            <w:vAlign w:val="center"/>
          </w:tcPr>
          <w:p>
            <w:pPr>
              <w:pStyle w:val="TableContents"/>
              <w:spacing w:before="0" w:after="0"/>
              <w:rPr/>
            </w:pPr>
            <w:hyperlink r:id="rId33">
              <w:r>
                <w:rPr>
                  <w:rStyle w:val="InternetLink"/>
                </w:rPr>
                <w:t>Form of Performance Stock Option Agreement (Non-Qualified Stock Option) (incorporated by reference to Exhibit 10.3 to our Quarterly Report on Form 10-Q for the period ended March 31, 2022)</w:t>
              </w:r>
            </w:hyperlink>
          </w:p>
        </w:tc>
      </w:tr>
      <w:tr>
        <w:trPr/>
        <w:tc>
          <w:tcPr>
            <w:tcW w:w="609" w:type="dxa"/>
            <w:tcBorders/>
            <w:shd w:fill="CCEEFF" w:val="clear"/>
            <w:vAlign w:val="center"/>
          </w:tcPr>
          <w:p>
            <w:pPr>
              <w:pStyle w:val="TableContents"/>
              <w:spacing w:before="0" w:after="0"/>
              <w:jc w:val="right"/>
              <w:rPr>
                <w:color w:val="000000"/>
              </w:rPr>
            </w:pPr>
            <w:r>
              <w:rPr>
                <w:color w:val="000000"/>
              </w:rPr>
              <w:t>10.30*</w:t>
            </w:r>
          </w:p>
        </w:tc>
        <w:tc>
          <w:tcPr>
            <w:tcW w:w="60" w:type="dxa"/>
            <w:tcBorders/>
            <w:shd w:fill="CCEEFF" w:val="clear"/>
            <w:vAlign w:val="center"/>
          </w:tcPr>
          <w:p>
            <w:pPr>
              <w:pStyle w:val="TableContents"/>
              <w:spacing w:before="0" w:after="283"/>
              <w:rPr/>
            </w:pPr>
            <w:r>
              <w:rPr/>
              <w:t> </w:t>
            </w:r>
          </w:p>
        </w:tc>
        <w:tc>
          <w:tcPr>
            <w:tcW w:w="9536" w:type="dxa"/>
            <w:tcBorders/>
            <w:shd w:fill="CCEEFF" w:val="clear"/>
            <w:vAlign w:val="center"/>
          </w:tcPr>
          <w:p>
            <w:pPr>
              <w:pStyle w:val="TableContents"/>
              <w:spacing w:before="0" w:after="0"/>
              <w:rPr/>
            </w:pPr>
            <w:hyperlink r:id="rId34">
              <w:r>
                <w:rPr>
                  <w:rStyle w:val="InternetLink"/>
                </w:rPr>
                <w:t>Form of VWAP Performance Stock Option Agreement (Non-Qualified Stock Option) (incorporated by referenced to Exhibit 10.4 to our Quarterly Report on Form 10-Q for the period ended March 31, 2022)</w:t>
              </w:r>
            </w:hyperlink>
          </w:p>
        </w:tc>
      </w:tr>
    </w:tbl>
    <w:tbl>
      <w:tblPr>
        <w:tblW w:w="10205" w:type="dxa"/>
        <w:jc w:val="left"/>
        <w:tblInd w:w="0" w:type="dxa"/>
        <w:tblCellMar>
          <w:top w:w="0" w:type="dxa"/>
          <w:left w:w="0" w:type="dxa"/>
          <w:bottom w:w="0" w:type="dxa"/>
          <w:right w:w="0" w:type="dxa"/>
        </w:tblCellMar>
      </w:tblPr>
      <w:tblGrid>
        <w:gridCol w:w="574"/>
        <w:gridCol w:w="60"/>
        <w:gridCol w:w="9571"/>
      </w:tblGrid>
      <w:tr>
        <w:trPr/>
        <w:tc>
          <w:tcPr>
            <w:tcW w:w="574" w:type="dxa"/>
            <w:tcBorders/>
            <w:shd w:fill="auto" w:val="clear"/>
            <w:vAlign w:val="center"/>
          </w:tcPr>
          <w:p>
            <w:pPr>
              <w:pStyle w:val="TableContents"/>
              <w:spacing w:before="0" w:after="0"/>
              <w:jc w:val="right"/>
              <w:rPr>
                <w:color w:val="000000"/>
              </w:rPr>
            </w:pPr>
            <w:r>
              <w:rPr>
                <w:color w:val="000000"/>
              </w:rPr>
              <w:t>23.1</w:t>
            </w:r>
          </w:p>
        </w:tc>
        <w:tc>
          <w:tcPr>
            <w:tcW w:w="60" w:type="dxa"/>
            <w:tcBorders/>
            <w:shd w:fill="auto" w:val="clear"/>
            <w:vAlign w:val="center"/>
          </w:tcPr>
          <w:p>
            <w:pPr>
              <w:pStyle w:val="TableContents"/>
              <w:spacing w:before="0" w:after="283"/>
              <w:rPr/>
            </w:pPr>
            <w:r>
              <w:rPr/>
              <w:t> </w:t>
            </w:r>
          </w:p>
        </w:tc>
        <w:tc>
          <w:tcPr>
            <w:tcW w:w="9571" w:type="dxa"/>
            <w:tcBorders/>
            <w:shd w:fill="auto" w:val="clear"/>
            <w:vAlign w:val="center"/>
          </w:tcPr>
          <w:p>
            <w:pPr>
              <w:pStyle w:val="TableContents"/>
              <w:spacing w:before="0" w:after="0"/>
              <w:ind w:left="20" w:right="441" w:hanging="0"/>
              <w:rPr/>
            </w:pPr>
            <w:hyperlink w:anchor="brhc10049943_ex23-1.htm">
              <w:r>
                <w:rPr>
                  <w:rStyle w:val="InternetLink"/>
                </w:rPr>
                <w:t>Consent of Marcum, LLP</w:t>
              </w:r>
            </w:hyperlink>
          </w:p>
        </w:tc>
      </w:tr>
      <w:tr>
        <w:trPr/>
        <w:tc>
          <w:tcPr>
            <w:tcW w:w="574" w:type="dxa"/>
            <w:tcBorders/>
            <w:shd w:fill="CCEEFF" w:val="clear"/>
            <w:vAlign w:val="center"/>
          </w:tcPr>
          <w:p>
            <w:pPr>
              <w:pStyle w:val="TableContents"/>
              <w:spacing w:before="0" w:after="0"/>
              <w:jc w:val="right"/>
              <w:rPr>
                <w:color w:val="000000"/>
              </w:rPr>
            </w:pPr>
            <w:r>
              <w:rPr>
                <w:color w:val="000000"/>
              </w:rPr>
              <w:t>31.1</w:t>
            </w:r>
          </w:p>
        </w:tc>
        <w:tc>
          <w:tcPr>
            <w:tcW w:w="60" w:type="dxa"/>
            <w:tcBorders/>
            <w:shd w:fill="CCEEFF" w:val="clear"/>
            <w:vAlign w:val="center"/>
          </w:tcPr>
          <w:p>
            <w:pPr>
              <w:pStyle w:val="TableContents"/>
              <w:spacing w:before="0" w:after="283"/>
              <w:rPr/>
            </w:pPr>
            <w:r>
              <w:rPr/>
              <w:t> </w:t>
            </w:r>
          </w:p>
        </w:tc>
        <w:tc>
          <w:tcPr>
            <w:tcW w:w="9571" w:type="dxa"/>
            <w:tcBorders/>
            <w:shd w:fill="CCEEFF" w:val="clear"/>
            <w:vAlign w:val="center"/>
          </w:tcPr>
          <w:p>
            <w:pPr>
              <w:pStyle w:val="TableContents"/>
              <w:spacing w:before="0" w:after="0"/>
              <w:ind w:left="20" w:right="441" w:hanging="0"/>
              <w:rPr/>
            </w:pPr>
            <w:hyperlink w:anchor="brhc10049943_ex31-1.htm">
              <w:r>
                <w:rPr>
                  <w:rStyle w:val="InternetLink"/>
                </w:rPr>
                <w:t>Rule 13a-14(a) Certificate of Chief Executive Officer</w:t>
              </w:r>
            </w:hyperlink>
          </w:p>
        </w:tc>
      </w:tr>
      <w:tr>
        <w:trPr/>
        <w:tc>
          <w:tcPr>
            <w:tcW w:w="574" w:type="dxa"/>
            <w:tcBorders/>
            <w:shd w:fill="auto" w:val="clear"/>
            <w:vAlign w:val="center"/>
          </w:tcPr>
          <w:p>
            <w:pPr>
              <w:pStyle w:val="TableContents"/>
              <w:spacing w:before="0" w:after="0"/>
              <w:jc w:val="right"/>
              <w:rPr>
                <w:color w:val="000000"/>
              </w:rPr>
            </w:pPr>
            <w:r>
              <w:rPr>
                <w:color w:val="000000"/>
              </w:rPr>
              <w:t>31.2</w:t>
            </w:r>
          </w:p>
        </w:tc>
        <w:tc>
          <w:tcPr>
            <w:tcW w:w="60" w:type="dxa"/>
            <w:tcBorders/>
            <w:shd w:fill="auto" w:val="clear"/>
            <w:vAlign w:val="center"/>
          </w:tcPr>
          <w:p>
            <w:pPr>
              <w:pStyle w:val="TableContents"/>
              <w:spacing w:before="0" w:after="283"/>
              <w:rPr/>
            </w:pPr>
            <w:r>
              <w:rPr/>
              <w:t> </w:t>
            </w:r>
          </w:p>
        </w:tc>
        <w:tc>
          <w:tcPr>
            <w:tcW w:w="9571" w:type="dxa"/>
            <w:tcBorders/>
            <w:shd w:fill="auto" w:val="clear"/>
            <w:vAlign w:val="center"/>
          </w:tcPr>
          <w:p>
            <w:pPr>
              <w:pStyle w:val="TableContents"/>
              <w:spacing w:before="0" w:after="0"/>
              <w:ind w:left="20" w:right="441" w:hanging="0"/>
              <w:rPr/>
            </w:pPr>
            <w:hyperlink w:anchor="brhc10049943_ex31-2.htm">
              <w:r>
                <w:rPr>
                  <w:rStyle w:val="InternetLink"/>
                </w:rPr>
                <w:t>Rule 13a-14(a) Certificate of Chief Financial Officer</w:t>
              </w:r>
            </w:hyperlink>
          </w:p>
        </w:tc>
      </w:tr>
      <w:tr>
        <w:trPr/>
        <w:tc>
          <w:tcPr>
            <w:tcW w:w="574" w:type="dxa"/>
            <w:tcBorders/>
            <w:shd w:fill="CCEEFF" w:val="clear"/>
            <w:vAlign w:val="center"/>
          </w:tcPr>
          <w:p>
            <w:pPr>
              <w:pStyle w:val="TableContents"/>
              <w:spacing w:before="0" w:after="0"/>
              <w:jc w:val="right"/>
              <w:rPr>
                <w:color w:val="000000"/>
              </w:rPr>
            </w:pPr>
            <w:r>
              <w:rPr>
                <w:color w:val="000000"/>
              </w:rPr>
              <w:t>32.1**</w:t>
            </w:r>
          </w:p>
        </w:tc>
        <w:tc>
          <w:tcPr>
            <w:tcW w:w="60" w:type="dxa"/>
            <w:tcBorders/>
            <w:shd w:fill="CCEEFF" w:val="clear"/>
            <w:vAlign w:val="center"/>
          </w:tcPr>
          <w:p>
            <w:pPr>
              <w:pStyle w:val="TableContents"/>
              <w:spacing w:before="0" w:after="283"/>
              <w:rPr/>
            </w:pPr>
            <w:r>
              <w:rPr/>
              <w:t> </w:t>
            </w:r>
          </w:p>
        </w:tc>
        <w:tc>
          <w:tcPr>
            <w:tcW w:w="9571" w:type="dxa"/>
            <w:tcBorders/>
            <w:shd w:fill="CCEEFF" w:val="clear"/>
            <w:vAlign w:val="center"/>
          </w:tcPr>
          <w:p>
            <w:pPr>
              <w:pStyle w:val="TableContents"/>
              <w:spacing w:before="0" w:after="0"/>
              <w:ind w:left="20" w:right="441" w:hanging="0"/>
              <w:rPr/>
            </w:pPr>
            <w:hyperlink w:anchor="brhc10049943_ex32-1.htm">
              <w:r>
                <w:rPr>
                  <w:rStyle w:val="InternetLink"/>
                </w:rPr>
                <w:t>Certifications of Chief Executive Officer and Chief Financial Officer pursuant to 18 U.S.C. Section 1350, as adopted pursuant to Section 906 of the Sarbanes-Oxley Act of 2002</w:t>
              </w:r>
            </w:hyperlink>
          </w:p>
        </w:tc>
      </w:tr>
    </w:tbl>
    <w:p>
      <w:pPr>
        <w:pStyle w:val="TextBody"/>
        <w:spacing w:before="0" w:after="0"/>
        <w:ind w:left="0" w:right="441" w:hanging="0"/>
        <w:rPr/>
      </w:pPr>
      <w:r>
        <w:rPr/>
      </w:r>
    </w:p>
    <w:tbl>
      <w:tblPr>
        <w:tblW w:w="6082" w:type="dxa"/>
        <w:jc w:val="left"/>
        <w:tblInd w:w="0" w:type="dxa"/>
        <w:tblCellMar>
          <w:top w:w="0" w:type="dxa"/>
          <w:left w:w="0" w:type="dxa"/>
          <w:bottom w:w="0" w:type="dxa"/>
          <w:right w:w="0" w:type="dxa"/>
        </w:tblCellMar>
      </w:tblPr>
      <w:tblGrid>
        <w:gridCol w:w="596"/>
        <w:gridCol w:w="5486"/>
      </w:tblGrid>
      <w:tr>
        <w:trPr/>
        <w:tc>
          <w:tcPr>
            <w:tcW w:w="596" w:type="dxa"/>
            <w:tcBorders/>
            <w:shd w:fill="auto" w:val="clear"/>
            <w:vAlign w:val="center"/>
          </w:tcPr>
          <w:p>
            <w:pPr>
              <w:pStyle w:val="TableContents"/>
              <w:spacing w:before="0" w:after="0"/>
              <w:ind w:left="0" w:right="441" w:hanging="0"/>
              <w:jc w:val="both"/>
              <w:rPr/>
            </w:pPr>
            <w:r>
              <w:rPr/>
              <w:t>*</w:t>
            </w:r>
          </w:p>
        </w:tc>
        <w:tc>
          <w:tcPr>
            <w:tcW w:w="5486" w:type="dxa"/>
            <w:tcBorders/>
            <w:shd w:fill="auto" w:val="clear"/>
            <w:vAlign w:val="center"/>
          </w:tcPr>
          <w:p>
            <w:pPr>
              <w:pStyle w:val="TableContents"/>
              <w:spacing w:before="0" w:after="0"/>
              <w:ind w:left="0" w:right="441" w:hanging="0"/>
              <w:jc w:val="both"/>
              <w:rPr/>
            </w:pPr>
            <w:r>
              <w:rPr/>
              <w:t>Indicates management contract or compensatory plan</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83"/>
              <w:rPr/>
            </w:pPr>
            <w:r>
              <w:rPr/>
              <w:t>**</w:t>
            </w:r>
          </w:p>
        </w:tc>
        <w:tc>
          <w:tcPr>
            <w:tcW w:w="10016" w:type="dxa"/>
            <w:tcBorders/>
            <w:shd w:fill="auto" w:val="clear"/>
            <w:vAlign w:val="center"/>
          </w:tcPr>
          <w:p>
            <w:pPr>
              <w:pStyle w:val="TableContents"/>
              <w:spacing w:before="0" w:after="0"/>
              <w:jc w:val="both"/>
              <w:rPr/>
            </w:pPr>
            <w:r>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bl>
    <w:p>
      <w:pPr>
        <w:pStyle w:val="TextBody"/>
        <w:spacing w:before="0" w:after="0"/>
        <w:jc w:val="left"/>
        <w:rPr/>
      </w:pPr>
      <w:r>
        <w:rPr/>
      </w:r>
    </w:p>
    <w:p>
      <w:pPr>
        <w:pStyle w:val="Normal"/>
        <w:spacing w:before="0" w:after="0"/>
        <w:jc w:val="left"/>
        <w:rPr>
          <w:sz w:val="4"/>
          <w:szCs w:val="4"/>
        </w:rPr>
      </w:pPr>
      <w:r>
        <w:rPr>
          <w:sz w:val="4"/>
          <w:szCs w:val="4"/>
        </w:rPr>
      </w:r>
      <w:bookmarkStart w:id="46" w:name="FORM10-KSUMMARY"/>
      <w:bookmarkStart w:id="47" w:name="FORM10-KSUMMARY"/>
      <w:bookmarkEnd w:id="47"/>
    </w:p>
    <w:tbl>
      <w:tblPr>
        <w:tblW w:w="3730" w:type="dxa"/>
        <w:jc w:val="left"/>
        <w:tblInd w:w="0" w:type="dxa"/>
        <w:tblCellMar>
          <w:top w:w="0" w:type="dxa"/>
          <w:left w:w="0" w:type="dxa"/>
          <w:bottom w:w="0" w:type="dxa"/>
          <w:right w:w="0" w:type="dxa"/>
        </w:tblCellMar>
      </w:tblPr>
      <w:tblGrid>
        <w:gridCol w:w="1040"/>
        <w:gridCol w:w="2690"/>
      </w:tblGrid>
      <w:tr>
        <w:trPr/>
        <w:tc>
          <w:tcPr>
            <w:tcW w:w="1040" w:type="dxa"/>
            <w:tcBorders/>
            <w:shd w:fill="auto" w:val="clear"/>
            <w:vAlign w:val="center"/>
          </w:tcPr>
          <w:p>
            <w:pPr>
              <w:pStyle w:val="TableContents"/>
              <w:spacing w:before="0" w:after="283"/>
              <w:rPr>
                <w:b/>
              </w:rPr>
            </w:pPr>
            <w:r>
              <w:rPr>
                <w:b/>
              </w:rPr>
              <w:t>ITEM 16.</w:t>
            </w:r>
          </w:p>
        </w:tc>
        <w:tc>
          <w:tcPr>
            <w:tcW w:w="2690" w:type="dxa"/>
            <w:tcBorders/>
            <w:shd w:fill="auto" w:val="clear"/>
            <w:vAlign w:val="center"/>
          </w:tcPr>
          <w:p>
            <w:pPr>
              <w:pStyle w:val="TableContents"/>
              <w:spacing w:before="0" w:after="0"/>
              <w:jc w:val="both"/>
              <w:rPr>
                <w:b/>
              </w:rPr>
            </w:pPr>
            <w:r>
              <w:rPr>
                <w:b/>
              </w:rPr>
              <w:t>FORM 10-K SUMMARY</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both"/>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spacing w:before="0" w:after="0"/>
        <w:jc w:val="left"/>
        <w:rPr>
          <w:color w:val="000000"/>
        </w:rPr>
      </w:pPr>
      <w:r>
        <w:rPr>
          <w:color w:val="000000"/>
        </w:rPr>
        <w:t> </w:t>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jc w:val="left"/>
        <w:rPr/>
      </w:pPr>
      <w:r>
        <w:rPr/>
      </w:r>
    </w:p>
    <w:tbl>
      <w:tblPr>
        <w:tblW w:w="6000" w:type="dxa"/>
        <w:jc w:val="left"/>
        <w:tblInd w:w="0" w:type="dxa"/>
        <w:tblCellMar>
          <w:top w:w="0" w:type="dxa"/>
          <w:left w:w="0" w:type="dxa"/>
          <w:bottom w:w="0" w:type="dxa"/>
          <w:right w:w="0" w:type="dxa"/>
        </w:tblCellMar>
      </w:tblPr>
      <w:tblGrid>
        <w:gridCol w:w="2105"/>
        <w:gridCol w:w="365"/>
        <w:gridCol w:w="3530"/>
      </w:tblGrid>
      <w:tr>
        <w:trPr/>
        <w:tc>
          <w:tcPr>
            <w:tcW w:w="2105" w:type="dxa"/>
            <w:tcBorders/>
            <w:shd w:fill="auto" w:val="clear"/>
            <w:vAlign w:val="center"/>
          </w:tcPr>
          <w:p>
            <w:pPr>
              <w:pStyle w:val="TableContents"/>
              <w:spacing w:before="0" w:after="283"/>
              <w:rPr/>
            </w:pPr>
            <w:r>
              <w:rPr/>
              <w:t> </w:t>
            </w:r>
          </w:p>
        </w:tc>
        <w:tc>
          <w:tcPr>
            <w:tcW w:w="3895" w:type="dxa"/>
            <w:gridSpan w:val="2"/>
            <w:tcBorders/>
            <w:shd w:fill="auto" w:val="clear"/>
            <w:vAlign w:val="center"/>
          </w:tcPr>
          <w:p>
            <w:pPr>
              <w:pStyle w:val="TableContents"/>
              <w:spacing w:before="0" w:after="0"/>
              <w:rPr>
                <w:b/>
              </w:rPr>
            </w:pPr>
            <w:r>
              <w:rPr>
                <w:b/>
              </w:rPr>
              <w:t>STRATA SKIN SCIENCES, INC.</w:t>
            </w:r>
          </w:p>
        </w:tc>
      </w:tr>
      <w:tr>
        <w:trPr/>
        <w:tc>
          <w:tcPr>
            <w:tcW w:w="21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283"/>
              <w:rPr/>
            </w:pPr>
            <w:r>
              <w:rPr/>
              <w:t> </w:t>
            </w:r>
          </w:p>
        </w:tc>
      </w:tr>
      <w:tr>
        <w:trPr/>
        <w:tc>
          <w:tcPr>
            <w:tcW w:w="2105" w:type="dxa"/>
            <w:tcBorders/>
            <w:shd w:fill="auto" w:val="clear"/>
            <w:vAlign w:val="center"/>
          </w:tcPr>
          <w:p>
            <w:pPr>
              <w:pStyle w:val="TableContents"/>
              <w:spacing w:before="0" w:after="0"/>
              <w:rPr/>
            </w:pPr>
            <w:r>
              <w:rPr/>
              <w:t>Date: March 31, 2023</w:t>
            </w:r>
          </w:p>
        </w:tc>
        <w:tc>
          <w:tcPr>
            <w:tcW w:w="365" w:type="dxa"/>
            <w:tcBorders/>
            <w:shd w:fill="auto" w:val="clear"/>
            <w:vAlign w:val="center"/>
          </w:tcPr>
          <w:p>
            <w:pPr>
              <w:pStyle w:val="TableContents"/>
              <w:spacing w:before="0" w:after="0"/>
              <w:rPr/>
            </w:pPr>
            <w:r>
              <w:rPr/>
              <w:t>By:</w:t>
            </w:r>
          </w:p>
        </w:tc>
        <w:tc>
          <w:tcPr>
            <w:tcW w:w="3530" w:type="dxa"/>
            <w:tcBorders>
              <w:bottom w:val="single" w:sz="12" w:space="0" w:color="000000"/>
            </w:tcBorders>
            <w:shd w:fill="auto" w:val="clear"/>
            <w:tcMar>
              <w:bottom w:w="28" w:type="dxa"/>
            </w:tcMar>
            <w:vAlign w:val="center"/>
          </w:tcPr>
          <w:p>
            <w:pPr>
              <w:pStyle w:val="TableContents"/>
              <w:spacing w:before="0" w:after="0"/>
              <w:rPr/>
            </w:pPr>
            <w:r>
              <w:rPr/>
              <w:t>/s/ Robert J. Moccia</w:t>
            </w:r>
          </w:p>
        </w:tc>
      </w:tr>
      <w:tr>
        <w:trPr/>
        <w:tc>
          <w:tcPr>
            <w:tcW w:w="21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rPr/>
            </w:pPr>
            <w:r>
              <w:rPr/>
              <w:t>Robert J. Moccia</w:t>
            </w:r>
          </w:p>
        </w:tc>
      </w:tr>
      <w:tr>
        <w:trPr/>
        <w:tc>
          <w:tcPr>
            <w:tcW w:w="21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rPr/>
            </w:pPr>
            <w:r>
              <w:rPr/>
              <w:t>Chief Executive Officer and Director</w:t>
            </w:r>
          </w:p>
          <w:p>
            <w:pPr>
              <w:pStyle w:val="TableContents"/>
              <w:spacing w:before="0" w:after="0"/>
              <w:rPr/>
            </w:pPr>
            <w:r>
              <w:rPr/>
              <w:t>(principal executive officer)</w:t>
            </w:r>
          </w:p>
        </w:tc>
      </w:tr>
    </w:tbl>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Annual Report on Form 10-K has been signed below by the following persons on behalf of the Registrant and in the capacities and on the dates indicated:</w:t>
      </w:r>
    </w:p>
    <w:p>
      <w:pPr>
        <w:pStyle w:val="TextBody"/>
        <w:spacing w:before="0" w:after="0"/>
        <w:ind w:left="0" w:right="0" w:firstLine="360"/>
        <w:jc w:val="both"/>
        <w:rPr/>
      </w:pPr>
      <w:r>
        <w:rPr/>
      </w:r>
    </w:p>
    <w:tbl>
      <w:tblPr>
        <w:tblW w:w="9000" w:type="dxa"/>
        <w:jc w:val="left"/>
        <w:tblInd w:w="0" w:type="dxa"/>
        <w:tblCellMar>
          <w:top w:w="0" w:type="dxa"/>
          <w:left w:w="0" w:type="dxa"/>
          <w:bottom w:w="28" w:type="dxa"/>
          <w:right w:w="0" w:type="dxa"/>
        </w:tblCellMar>
      </w:tblPr>
      <w:tblGrid>
        <w:gridCol w:w="2465"/>
        <w:gridCol w:w="60"/>
        <w:gridCol w:w="4865"/>
        <w:gridCol w:w="60"/>
        <w:gridCol w:w="1550"/>
      </w:tblGrid>
      <w:tr>
        <w:trPr/>
        <w:tc>
          <w:tcPr>
            <w:tcW w:w="2465" w:type="dxa"/>
            <w:tcBorders>
              <w:bottom w:val="single" w:sz="12" w:space="0" w:color="000000"/>
            </w:tcBorders>
            <w:shd w:fill="auto" w:val="clear"/>
            <w:vAlign w:val="center"/>
          </w:tcPr>
          <w:p>
            <w:pPr>
              <w:pStyle w:val="TableContents"/>
              <w:spacing w:before="0" w:after="0"/>
              <w:jc w:val="center"/>
              <w:rPr>
                <w:b/>
              </w:rPr>
            </w:pPr>
            <w:r>
              <w:rPr>
                <w:b/>
              </w:rPr>
              <w:t>Signature</w:t>
            </w:r>
          </w:p>
        </w:tc>
        <w:tc>
          <w:tcPr>
            <w:tcW w:w="60" w:type="dxa"/>
            <w:tcBorders/>
            <w:shd w:fill="auto" w:val="clear"/>
            <w:tcMar>
              <w:bottom w:w="0" w:type="dxa"/>
            </w:tcMar>
            <w:vAlign w:val="center"/>
          </w:tcPr>
          <w:p>
            <w:pPr>
              <w:pStyle w:val="TableContents"/>
              <w:spacing w:before="0" w:after="283"/>
              <w:rPr/>
            </w:pPr>
            <w:r>
              <w:rPr/>
              <w:t> </w:t>
            </w:r>
          </w:p>
        </w:tc>
        <w:tc>
          <w:tcPr>
            <w:tcW w:w="4865" w:type="dxa"/>
            <w:tcBorders>
              <w:bottom w:val="single" w:sz="12" w:space="0" w:color="000000"/>
            </w:tcBorders>
            <w:shd w:fill="auto" w:val="clear"/>
            <w:vAlign w:val="center"/>
          </w:tcPr>
          <w:p>
            <w:pPr>
              <w:pStyle w:val="TableContents"/>
              <w:spacing w:before="0" w:after="0"/>
              <w:jc w:val="center"/>
              <w:rPr>
                <w:b/>
              </w:rPr>
            </w:pPr>
            <w:r>
              <w:rPr>
                <w:b/>
              </w:rPr>
              <w:t>Title</w:t>
            </w:r>
          </w:p>
        </w:tc>
        <w:tc>
          <w:tcPr>
            <w:tcW w:w="60" w:type="dxa"/>
            <w:tcBorders/>
            <w:shd w:fill="auto" w:val="clear"/>
            <w:tcMar>
              <w:bottom w:w="0" w:type="dxa"/>
            </w:tcMar>
            <w:vAlign w:val="center"/>
          </w:tcPr>
          <w:p>
            <w:pPr>
              <w:pStyle w:val="TableContents"/>
              <w:spacing w:before="0" w:after="283"/>
              <w:rPr/>
            </w:pPr>
            <w:r>
              <w:rPr/>
              <w:t> </w:t>
            </w:r>
          </w:p>
        </w:tc>
        <w:tc>
          <w:tcPr>
            <w:tcW w:w="1550" w:type="dxa"/>
            <w:tcBorders>
              <w:bottom w:val="single" w:sz="12" w:space="0" w:color="000000"/>
            </w:tcBorders>
            <w:shd w:fill="auto" w:val="clear"/>
            <w:vAlign w:val="center"/>
          </w:tcPr>
          <w:p>
            <w:pPr>
              <w:pStyle w:val="TableContents"/>
              <w:spacing w:before="0" w:after="0"/>
              <w:jc w:val="center"/>
              <w:rPr>
                <w:b/>
              </w:rPr>
            </w:pPr>
            <w:r>
              <w:rPr>
                <w:b/>
              </w:rPr>
              <w:t>Date</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Robert J. Moccia</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President, Chief Executive Officer,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Robert J. Moccia</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and Director (</w:t>
            </w:r>
            <w:r>
              <w:rPr>
                <w:i/>
              </w:rPr>
              <w:t>Principal Executive Officer)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Christopher Lesovitz</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Chief Financial Officer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Christopher Lesovitz</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w:t>
            </w:r>
            <w:r>
              <w:rPr>
                <w:i/>
              </w:rPr>
              <w:t>Principal Financial Officer and Financial Officer</w:t>
            </w:r>
            <w:r>
              <w:rPr/>
              <w:t>)</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William D. Humphries</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Director and Chairperson of the Board of Directors</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William D. Humphries</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Uri Geiger</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Uri Geiger</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Samuel Rubinstein</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Samuel Rubinstein</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Nachum Shamir</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Nachum Shamir</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rPr/>
            </w:pPr>
            <w:r>
              <w:rPr/>
              <w:t>/s/ Douglas Strang</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0"/>
              <w:jc w:val="center"/>
              <w:rPr/>
            </w:pPr>
            <w:r>
              <w:rPr/>
              <w:t>Director</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0"/>
              <w:jc w:val="center"/>
              <w:rPr/>
            </w:pPr>
            <w:r>
              <w:rPr/>
              <w:t>March 31, 2023</w:t>
            </w:r>
          </w:p>
        </w:tc>
      </w:tr>
      <w:tr>
        <w:trPr/>
        <w:tc>
          <w:tcPr>
            <w:tcW w:w="2465" w:type="dxa"/>
            <w:tcBorders/>
            <w:shd w:fill="auto" w:val="clear"/>
            <w:tcMar>
              <w:bottom w:w="0" w:type="dxa"/>
            </w:tcMar>
            <w:vAlign w:val="center"/>
          </w:tcPr>
          <w:p>
            <w:pPr>
              <w:pStyle w:val="TableContents"/>
              <w:spacing w:before="0" w:after="0"/>
              <w:rPr/>
            </w:pPr>
            <w:r>
              <w:rPr/>
              <w:t>Douglas Strang</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48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0" w:type="dxa"/>
            <w:tcBorders/>
            <w:shd w:fill="auto" w:val="clear"/>
            <w:tcMar>
              <w:bottom w:w="0" w:type="dxa"/>
            </w:tcMar>
            <w:vAlign w:val="center"/>
          </w:tcPr>
          <w:p>
            <w:pPr>
              <w:pStyle w:val="TableContents"/>
              <w:spacing w:before="0" w:after="283"/>
              <w:rPr/>
            </w:pPr>
            <w:r>
              <w:rPr/>
              <w:t> </w:t>
            </w:r>
          </w:p>
        </w:tc>
      </w:tr>
      <w:tr>
        <w:trPr/>
        <w:tc>
          <w:tcPr>
            <w:tcW w:w="2465" w:type="dxa"/>
            <w:tcBorders>
              <w:bottom w:val="single" w:sz="12" w:space="0" w:color="000000"/>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 Patricia Walker</w:t>
            </w:r>
          </w:p>
        </w:tc>
        <w:tc>
          <w:tcPr>
            <w:tcW w:w="60" w:type="dxa"/>
            <w:tcBorders/>
            <w:shd w:fill="auto" w:val="clear"/>
            <w:tcMar>
              <w:bottom w:w="0" w:type="dxa"/>
            </w:tcMar>
            <w:vAlign w:val="center"/>
          </w:tcPr>
          <w:p>
            <w:pPr>
              <w:pStyle w:val="TableContents"/>
              <w:spacing w:before="0" w:after="283"/>
              <w:rPr/>
            </w:pPr>
            <w:r>
              <w:rPr/>
            </w:r>
          </w:p>
        </w:tc>
        <w:tc>
          <w:tcPr>
            <w:tcW w:w="4865" w:type="dxa"/>
            <w:tcBorders/>
            <w:shd w:fill="auto" w:val="clear"/>
            <w:tcMar>
              <w:bottom w:w="0" w:type="dxa"/>
            </w:tcMar>
            <w:vAlign w:val="center"/>
          </w:tcPr>
          <w:p>
            <w:pPr>
              <w:pStyle w:val="TableContents"/>
              <w:spacing w:before="0" w:after="283"/>
              <w:jc w:val="center"/>
              <w:rPr/>
            </w:pPr>
            <w:r>
              <w:rPr/>
              <w:t>Director</w:t>
            </w:r>
          </w:p>
        </w:tc>
        <w:tc>
          <w:tcPr>
            <w:tcW w:w="60" w:type="dxa"/>
            <w:tcBorders/>
            <w:shd w:fill="auto" w:val="clear"/>
            <w:tcMar>
              <w:bottom w:w="0" w:type="dxa"/>
            </w:tcMar>
            <w:vAlign w:val="center"/>
          </w:tcPr>
          <w:p>
            <w:pPr>
              <w:pStyle w:val="TableContents"/>
              <w:spacing w:before="0" w:after="283"/>
              <w:rPr/>
            </w:pPr>
            <w:r>
              <w:rPr/>
            </w:r>
          </w:p>
        </w:tc>
        <w:tc>
          <w:tcPr>
            <w:tcW w:w="1550" w:type="dxa"/>
            <w:tcBorders/>
            <w:shd w:fill="auto" w:val="clear"/>
            <w:tcMar>
              <w:bottom w:w="0" w:type="dxa"/>
            </w:tcMar>
            <w:vAlign w:val="center"/>
          </w:tcPr>
          <w:p>
            <w:pPr>
              <w:pStyle w:val="TableContents"/>
              <w:spacing w:before="0" w:after="283"/>
              <w:jc w:val="center"/>
              <w:rPr/>
            </w:pPr>
            <w:r>
              <w:rPr/>
              <w:t>March 31, 2023</w:t>
            </w:r>
          </w:p>
        </w:tc>
      </w:tr>
      <w:tr>
        <w:trPr/>
        <w:tc>
          <w:tcPr>
            <w:tcW w:w="2465" w:type="dxa"/>
            <w:tcBorders/>
            <w:shd w:fill="auto" w:val="clear"/>
            <w:tcMar>
              <w:bottom w:w="0" w:type="dxa"/>
            </w:tcMar>
            <w:vAlign w:val="center"/>
          </w:tcPr>
          <w:p>
            <w:pPr>
              <w:pStyle w:val="TableContents"/>
              <w:spacing w:before="0" w:after="0"/>
              <w:jc w:val="left"/>
              <w:rPr>
                <w:rFonts w:ascii="Times New Roman" w:hAnsi="Times New Roman"/>
                <w:sz w:val="20"/>
              </w:rPr>
            </w:pPr>
            <w:r>
              <w:rPr>
                <w:rFonts w:ascii="Times New Roman" w:hAnsi="Times New Roman"/>
                <w:sz w:val="20"/>
              </w:rPr>
              <w:t>Patricia Walker</w:t>
            </w:r>
          </w:p>
        </w:tc>
        <w:tc>
          <w:tcPr>
            <w:tcW w:w="60" w:type="dxa"/>
            <w:tcBorders/>
            <w:shd w:fill="auto" w:val="clear"/>
            <w:tcMar>
              <w:bottom w:w="0" w:type="dxa"/>
            </w:tcMar>
            <w:vAlign w:val="center"/>
          </w:tcPr>
          <w:p>
            <w:pPr>
              <w:pStyle w:val="TableContents"/>
              <w:spacing w:before="0" w:after="283"/>
              <w:rPr/>
            </w:pPr>
            <w:r>
              <w:rPr/>
            </w:r>
          </w:p>
        </w:tc>
        <w:tc>
          <w:tcPr>
            <w:tcW w:w="4865" w:type="dxa"/>
            <w:tcBorders/>
            <w:shd w:fill="auto" w:val="clear"/>
            <w:tcMar>
              <w:bottom w:w="0" w:type="dxa"/>
            </w:tcMar>
            <w:vAlign w:val="center"/>
          </w:tcPr>
          <w:p>
            <w:pPr>
              <w:pStyle w:val="TableContents"/>
              <w:spacing w:before="0" w:after="283"/>
              <w:rPr/>
            </w:pPr>
            <w:r>
              <w:rPr/>
            </w:r>
          </w:p>
        </w:tc>
        <w:tc>
          <w:tcPr>
            <w:tcW w:w="60" w:type="dxa"/>
            <w:tcBorders/>
            <w:shd w:fill="auto" w:val="clear"/>
            <w:tcMar>
              <w:bottom w:w="0" w:type="dxa"/>
            </w:tcMar>
            <w:vAlign w:val="center"/>
          </w:tcPr>
          <w:p>
            <w:pPr>
              <w:pStyle w:val="TableContents"/>
              <w:spacing w:before="0" w:after="283"/>
              <w:rPr/>
            </w:pPr>
            <w:r>
              <w:rPr/>
            </w:r>
          </w:p>
        </w:tc>
        <w:tc>
          <w:tcPr>
            <w:tcW w:w="1550" w:type="dxa"/>
            <w:tcBorders/>
            <w:shd w:fill="auto" w:val="clear"/>
            <w:tcMar>
              <w:bottom w:w="0" w:type="dxa"/>
            </w:tcMar>
            <w:vAlign w:val="center"/>
          </w:tcPr>
          <w:p>
            <w:pPr>
              <w:pStyle w:val="TableContents"/>
              <w:spacing w:before="0" w:after="283"/>
              <w:rPr/>
            </w:pPr>
            <w:r>
              <w:rPr/>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STRATA SKIN SCIENCES, INC.</w:t>
      </w:r>
    </w:p>
    <w:p>
      <w:pPr>
        <w:pStyle w:val="TextBody"/>
        <w:spacing w:before="0" w:after="0"/>
        <w:jc w:val="center"/>
        <w:rPr>
          <w:color w:val="000000"/>
        </w:rPr>
      </w:pPr>
      <w:r>
        <w:rPr>
          <w:color w:val="000000"/>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spacing w:before="0" w:after="0"/>
        <w:jc w:val="left"/>
        <w:rPr/>
      </w:pPr>
      <w:r>
        <w:rPr/>
      </w:r>
    </w:p>
    <w:tbl>
      <w:tblPr>
        <w:tblW w:w="6775" w:type="dxa"/>
        <w:jc w:val="left"/>
        <w:tblInd w:w="0" w:type="dxa"/>
        <w:tblCellMar>
          <w:top w:w="0" w:type="dxa"/>
          <w:left w:w="0" w:type="dxa"/>
          <w:bottom w:w="0" w:type="dxa"/>
          <w:right w:w="0" w:type="dxa"/>
        </w:tblCellMar>
      </w:tblPr>
      <w:tblGrid>
        <w:gridCol w:w="6275"/>
        <w:gridCol w:w="60"/>
        <w:gridCol w:w="440"/>
      </w:tblGrid>
      <w:tr>
        <w:trPr/>
        <w:tc>
          <w:tcPr>
            <w:tcW w:w="6275" w:type="dxa"/>
            <w:tcBorders/>
            <w:shd w:fill="auto" w:val="clear"/>
            <w:vAlign w:val="center"/>
          </w:tcPr>
          <w:p>
            <w:pPr>
              <w:pStyle w:val="TableContents"/>
              <w:spacing w:before="0" w:after="0"/>
              <w:jc w:val="both"/>
              <w:rPr/>
            </w:pPr>
            <w:r>
              <w:rPr/>
              <w:t> </w:t>
            </w:r>
          </w:p>
        </w:tc>
        <w:tc>
          <w:tcPr>
            <w:tcW w:w="60" w:type="dxa"/>
            <w:tcBorders/>
            <w:shd w:fill="auto" w:val="clear"/>
            <w:vAlign w:val="center"/>
          </w:tcPr>
          <w:p>
            <w:pPr>
              <w:pStyle w:val="TableContents"/>
              <w:spacing w:before="0" w:after="0"/>
              <w:jc w:val="left"/>
              <w:rPr/>
            </w:pPr>
            <w:r>
              <w:rPr/>
              <w:t> </w:t>
            </w:r>
          </w:p>
        </w:tc>
        <w:tc>
          <w:tcPr>
            <w:tcW w:w="440"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Page</w:t>
            </w:r>
          </w:p>
        </w:tc>
      </w:tr>
      <w:tr>
        <w:trPr/>
        <w:tc>
          <w:tcPr>
            <w:tcW w:w="6275" w:type="dxa"/>
            <w:tcBorders/>
            <w:shd w:fill="CCEEFF" w:val="clear"/>
            <w:vAlign w:val="center"/>
          </w:tcPr>
          <w:p>
            <w:pPr>
              <w:pStyle w:val="TableContents"/>
              <w:spacing w:before="0" w:after="0"/>
              <w:jc w:val="both"/>
              <w:rPr/>
            </w:pPr>
            <w:hyperlink w:anchor="REPORTOFINDEPENDENTREGIST">
              <w:r>
                <w:rPr>
                  <w:rStyle w:val="InternetLink"/>
                  <w:rFonts w:ascii="Times New Roman" w:hAnsi="Times New Roman"/>
                  <w:sz w:val="20"/>
                </w:rPr>
                <w:t>Report of Independent Registered Public Accounting Firm (PCAOB ID #</w:t>
              </w:r>
            </w:hyperlink>
            <w:r>
              <w:rPr>
                <w:rFonts w:ascii="Times New Roman" w:hAnsi="Times New Roman"/>
                <w:sz w:val="20"/>
              </w:rPr>
              <w:t>688)</w:t>
            </w:r>
          </w:p>
        </w:tc>
        <w:tc>
          <w:tcPr>
            <w:tcW w:w="60" w:type="dxa"/>
            <w:tcBorders/>
            <w:shd w:fill="CCEEFF" w:val="clear"/>
            <w:vAlign w:val="center"/>
          </w:tcPr>
          <w:p>
            <w:pPr>
              <w:pStyle w:val="TableContents"/>
              <w:spacing w:before="0" w:after="0"/>
              <w:jc w:val="left"/>
              <w:rPr/>
            </w:pPr>
            <w:r>
              <w:rPr/>
              <w:t> </w:t>
            </w:r>
          </w:p>
        </w:tc>
        <w:tc>
          <w:tcPr>
            <w:tcW w:w="440"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F-2</w:t>
            </w:r>
          </w:p>
        </w:tc>
      </w:tr>
      <w:tr>
        <w:trPr/>
        <w:tc>
          <w:tcPr>
            <w:tcW w:w="6275" w:type="dxa"/>
            <w:tcBorders/>
            <w:shd w:fill="auto" w:val="clear"/>
            <w:vAlign w:val="center"/>
          </w:tcPr>
          <w:p>
            <w:pPr>
              <w:pStyle w:val="TableContents"/>
              <w:spacing w:before="0" w:after="0"/>
              <w:jc w:val="both"/>
              <w:rPr/>
            </w:pPr>
            <w:hyperlink w:anchor="Balance">
              <w:r>
                <w:rPr>
                  <w:rStyle w:val="InternetLink"/>
                  <w:rFonts w:ascii="Times New Roman" w:hAnsi="Times New Roman"/>
                  <w:sz w:val="20"/>
                </w:rPr>
                <w:t>Consolidated Balance Sheets</w:t>
              </w:r>
            </w:hyperlink>
          </w:p>
        </w:tc>
        <w:tc>
          <w:tcPr>
            <w:tcW w:w="60" w:type="dxa"/>
            <w:tcBorders/>
            <w:shd w:fill="auto" w:val="clear"/>
            <w:vAlign w:val="center"/>
          </w:tcPr>
          <w:p>
            <w:pPr>
              <w:pStyle w:val="TableContents"/>
              <w:spacing w:before="0" w:after="0"/>
              <w:jc w:val="left"/>
              <w:rPr/>
            </w:pPr>
            <w:r>
              <w:rPr/>
              <w:t> </w:t>
            </w:r>
          </w:p>
        </w:tc>
        <w:tc>
          <w:tcPr>
            <w:tcW w:w="44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F-4</w:t>
            </w:r>
          </w:p>
        </w:tc>
      </w:tr>
      <w:tr>
        <w:trPr/>
        <w:tc>
          <w:tcPr>
            <w:tcW w:w="6275" w:type="dxa"/>
            <w:tcBorders/>
            <w:shd w:fill="CCEEFF" w:val="clear"/>
            <w:vAlign w:val="center"/>
          </w:tcPr>
          <w:p>
            <w:pPr>
              <w:pStyle w:val="TableContents"/>
              <w:spacing w:before="0" w:after="0"/>
              <w:jc w:val="both"/>
              <w:rPr/>
            </w:pPr>
            <w:hyperlink w:anchor="Operations">
              <w:r>
                <w:rPr>
                  <w:rStyle w:val="InternetLink"/>
                  <w:rFonts w:ascii="Times New Roman" w:hAnsi="Times New Roman"/>
                  <w:sz w:val="20"/>
                </w:rPr>
                <w:t>Consolidated Statements of Operations</w:t>
              </w:r>
            </w:hyperlink>
          </w:p>
        </w:tc>
        <w:tc>
          <w:tcPr>
            <w:tcW w:w="60" w:type="dxa"/>
            <w:tcBorders/>
            <w:shd w:fill="CCEEFF" w:val="clear"/>
            <w:vAlign w:val="center"/>
          </w:tcPr>
          <w:p>
            <w:pPr>
              <w:pStyle w:val="TableContents"/>
              <w:spacing w:before="0" w:after="0"/>
              <w:jc w:val="left"/>
              <w:rPr/>
            </w:pPr>
            <w:r>
              <w:rPr/>
              <w:t> </w:t>
            </w:r>
          </w:p>
        </w:tc>
        <w:tc>
          <w:tcPr>
            <w:tcW w:w="440"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F-5</w:t>
            </w:r>
          </w:p>
        </w:tc>
      </w:tr>
      <w:tr>
        <w:trPr/>
        <w:tc>
          <w:tcPr>
            <w:tcW w:w="6275" w:type="dxa"/>
            <w:tcBorders/>
            <w:shd w:fill="auto" w:val="clear"/>
            <w:vAlign w:val="center"/>
          </w:tcPr>
          <w:p>
            <w:pPr>
              <w:pStyle w:val="TableContents"/>
              <w:spacing w:before="0" w:after="0"/>
              <w:jc w:val="both"/>
              <w:rPr/>
            </w:pPr>
            <w:hyperlink w:anchor="Stockholders">
              <w:r>
                <w:rPr>
                  <w:rStyle w:val="InternetLink"/>
                  <w:rFonts w:ascii="Times New Roman" w:hAnsi="Times New Roman"/>
                  <w:sz w:val="20"/>
                </w:rPr>
                <w:t>Consolidated Statements of Changes in Stockholders’ Equity</w:t>
              </w:r>
            </w:hyperlink>
          </w:p>
        </w:tc>
        <w:tc>
          <w:tcPr>
            <w:tcW w:w="60" w:type="dxa"/>
            <w:tcBorders/>
            <w:shd w:fill="auto" w:val="clear"/>
            <w:vAlign w:val="center"/>
          </w:tcPr>
          <w:p>
            <w:pPr>
              <w:pStyle w:val="TableContents"/>
              <w:spacing w:before="0" w:after="0"/>
              <w:jc w:val="left"/>
              <w:rPr/>
            </w:pPr>
            <w:r>
              <w:rPr/>
              <w:t> </w:t>
            </w:r>
          </w:p>
        </w:tc>
        <w:tc>
          <w:tcPr>
            <w:tcW w:w="44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F-6</w:t>
            </w:r>
          </w:p>
        </w:tc>
      </w:tr>
      <w:tr>
        <w:trPr/>
        <w:tc>
          <w:tcPr>
            <w:tcW w:w="6275" w:type="dxa"/>
            <w:tcBorders/>
            <w:shd w:fill="CCEEFF" w:val="clear"/>
            <w:vAlign w:val="center"/>
          </w:tcPr>
          <w:p>
            <w:pPr>
              <w:pStyle w:val="TableContents"/>
              <w:spacing w:before="0" w:after="0"/>
              <w:jc w:val="both"/>
              <w:rPr/>
            </w:pPr>
            <w:hyperlink w:anchor="Cash">
              <w:r>
                <w:rPr>
                  <w:rStyle w:val="InternetLink"/>
                  <w:rFonts w:ascii="Times New Roman" w:hAnsi="Times New Roman"/>
                  <w:sz w:val="20"/>
                </w:rPr>
                <w:t>Consolidated Statements of Cash Flows</w:t>
              </w:r>
            </w:hyperlink>
          </w:p>
        </w:tc>
        <w:tc>
          <w:tcPr>
            <w:tcW w:w="60" w:type="dxa"/>
            <w:tcBorders/>
            <w:shd w:fill="CCEEFF" w:val="clear"/>
            <w:vAlign w:val="center"/>
          </w:tcPr>
          <w:p>
            <w:pPr>
              <w:pStyle w:val="TableContents"/>
              <w:spacing w:before="0" w:after="0"/>
              <w:jc w:val="left"/>
              <w:rPr/>
            </w:pPr>
            <w:r>
              <w:rPr/>
              <w:t> </w:t>
            </w:r>
          </w:p>
        </w:tc>
        <w:tc>
          <w:tcPr>
            <w:tcW w:w="440"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F-7</w:t>
            </w:r>
          </w:p>
        </w:tc>
      </w:tr>
      <w:tr>
        <w:trPr/>
        <w:tc>
          <w:tcPr>
            <w:tcW w:w="6275" w:type="dxa"/>
            <w:tcBorders/>
            <w:shd w:fill="auto" w:val="clear"/>
            <w:vAlign w:val="center"/>
          </w:tcPr>
          <w:p>
            <w:pPr>
              <w:pStyle w:val="TableContents"/>
              <w:spacing w:before="0" w:after="0"/>
              <w:jc w:val="both"/>
              <w:rPr/>
            </w:pPr>
            <w:hyperlink w:anchor="Notes">
              <w:r>
                <w:rPr>
                  <w:rStyle w:val="InternetLink"/>
                  <w:rFonts w:ascii="Times New Roman" w:hAnsi="Times New Roman"/>
                  <w:sz w:val="20"/>
                </w:rPr>
                <w:t>Notes to Consolidated Financial Statements</w:t>
              </w:r>
            </w:hyperlink>
          </w:p>
        </w:tc>
        <w:tc>
          <w:tcPr>
            <w:tcW w:w="60" w:type="dxa"/>
            <w:tcBorders/>
            <w:shd w:fill="auto" w:val="clear"/>
            <w:vAlign w:val="center"/>
          </w:tcPr>
          <w:p>
            <w:pPr>
              <w:pStyle w:val="TableContents"/>
              <w:spacing w:before="0" w:after="0"/>
              <w:jc w:val="left"/>
              <w:rPr/>
            </w:pPr>
            <w:r>
              <w:rPr/>
              <w:t> </w:t>
            </w:r>
          </w:p>
        </w:tc>
        <w:tc>
          <w:tcPr>
            <w:tcW w:w="44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F-8</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hanging="0"/>
        <w:jc w:val="center"/>
        <w:rPr>
          <w:rFonts w:ascii="Times New Roman" w:hAnsi="Times New Roman"/>
          <w:b/>
          <w:color w:val="000000"/>
          <w:sz w:val="20"/>
        </w:rPr>
      </w:pPr>
      <w:bookmarkStart w:id="48" w:name="REPORTOFINDEPENDENTREGIST"/>
      <w:bookmarkEnd w:id="48"/>
      <w:r>
        <w:rPr>
          <w:rFonts w:ascii="Times New Roman" w:hAnsi="Times New Roman"/>
          <w:b/>
          <w:color w:val="000000"/>
          <w:sz w:val="20"/>
        </w:rPr>
        <w:t>REPORT OF INDEPENDENT REGISTERED PUBLIC ACCOUNTING FIRM</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To the Shareholders and Board of Directors of</w:t>
      </w:r>
    </w:p>
    <w:p>
      <w:pPr>
        <w:pStyle w:val="TextBody"/>
        <w:spacing w:before="0" w:after="0"/>
        <w:jc w:val="left"/>
        <w:rPr>
          <w:rFonts w:ascii="Times New Roman" w:hAnsi="Times New Roman"/>
          <w:b/>
          <w:color w:val="000000"/>
          <w:sz w:val="20"/>
        </w:rPr>
      </w:pPr>
      <w:r>
        <w:rPr>
          <w:rFonts w:ascii="Times New Roman" w:hAnsi="Times New Roman"/>
          <w:b/>
          <w:color w:val="000000"/>
          <w:sz w:val="20"/>
        </w:rPr>
        <w:t>STRATA Skin Sciences, Inc.</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16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We have audited the accompanying consolidated balance sheets of STRATA Skin Sciences, Inc. and Subsidiary (the “Company”) as of December 31, 2022 and 2021, the related consolidated statements of operations, changes in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left"/>
        <w:rPr>
          <w:rFonts w:ascii="Times New Roman" w:hAnsi="Times New Roman"/>
          <w:b/>
          <w:color w:val="000000"/>
          <w:sz w:val="20"/>
        </w:rPr>
      </w:pPr>
      <w:r>
        <w:rPr>
          <w:rFonts w:ascii="Times New Roman" w:hAnsi="Times New Roman"/>
          <w:b/>
          <w:color w:val="000000"/>
          <w:sz w:val="20"/>
        </w:rPr>
        <w:t>Basis for Opinion</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left"/>
        <w:rPr>
          <w:rFonts w:ascii="Times New Roman" w:hAnsi="Times New Roman"/>
          <w:b/>
          <w:color w:val="000000"/>
          <w:sz w:val="20"/>
        </w:rPr>
      </w:pPr>
      <w:r>
        <w:rPr>
          <w:rFonts w:ascii="Times New Roman" w:hAnsi="Times New Roman"/>
          <w:b/>
          <w:color w:val="000000"/>
          <w:sz w:val="20"/>
        </w:rPr>
        <w:t>Critical Audit Matters</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left"/>
        <w:rPr>
          <w:rFonts w:ascii="Times New Roman" w:hAnsi="Times New Roman"/>
          <w:i/>
          <w:color w:val="000000"/>
          <w:sz w:val="20"/>
          <w:u w:val="single"/>
        </w:rPr>
      </w:pPr>
      <w:r>
        <w:rPr>
          <w:rFonts w:ascii="Times New Roman" w:hAnsi="Times New Roman"/>
          <w:i/>
          <w:color w:val="000000"/>
          <w:sz w:val="20"/>
          <w:u w:val="single"/>
        </w:rPr>
        <w:t>Sales and Use Tax Liabilities:</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As discussed in Note 12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currently undergoing sales tax audits in two state jurisdictions which are each in the process of appeal.</w:t>
      </w:r>
    </w:p>
    <w:p>
      <w:pPr>
        <w:pStyle w:val="TextBody"/>
        <w:spacing w:before="0" w:after="160"/>
        <w:jc w:val="left"/>
        <w:rPr>
          <w:rFonts w:ascii="Times New Roman" w:hAnsi="Times New Roman"/>
          <w:sz w:val="20"/>
        </w:rPr>
      </w:pPr>
      <w:r>
        <w:rPr>
          <w:rFonts w:ascii="Times New Roman" w:hAnsi="Times New Roman"/>
          <w:sz w:val="20"/>
        </w:rPr>
      </w:r>
    </w:p>
    <w:p>
      <w:pPr>
        <w:pStyle w:val="TextBody"/>
        <w:spacing w:before="0" w:after="160"/>
        <w:jc w:val="both"/>
        <w:rPr>
          <w:rFonts w:ascii="Times New Roman" w:hAnsi="Times New Roman"/>
          <w:color w:val="000000"/>
          <w:sz w:val="20"/>
        </w:rPr>
      </w:pPr>
      <w:r>
        <w:rPr>
          <w:rFonts w:ascii="Times New Roman" w:hAnsi="Times New Roman"/>
          <w:color w:val="000000"/>
          <w:sz w:val="20"/>
        </w:rPr>
        <w:t>We identified the accounting for sales and use tax liabilities as a critical audit matter due to the audit effort relating to the following:</w:t>
      </w:r>
    </w:p>
    <w:p>
      <w:pPr>
        <w:pStyle w:val="TextBody"/>
        <w:spacing w:before="0" w:after="16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Company utilized specialists in prior years to assist in determining MLTN conclusions, and such analysis has been updated in the current year by management and counsel.</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Complexity in the interpretation of relevant tax laws in various states requires significant management and auditor judgment.</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determinations.</w:t>
            </w:r>
          </w:p>
        </w:tc>
      </w:tr>
    </w:tbl>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Our principal audit procedures related to the Company's accounting for sales and use tax liabilities included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evaluated management's significant accounting policies related to accounting for sales and use tax liabilities for reasonableness.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involved our firm’s tax professionals and subject-matter-experts, with specialized skills and knowledge, who assisted in assessing the Company’s interpretation of the relevant tax laws.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inspected correspondence and determinations from relevant state taxing authorities for those states undergoing sales tax audits.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tested the underlying data of management’s calculations and analyzed the expiration of statutes of limitations and tax rates.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Goodwill: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discussed in Note 2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2022.</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identified the annual goodwill impairment test as a critical audit matter due to the audit effort relating to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valuation assumptions.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principal audit procedures related to the Company's goodwill impairment test included the following:</w:t>
      </w:r>
    </w:p>
    <w:p>
      <w:pPr>
        <w:pStyle w:val="TextBody"/>
        <w:spacing w:before="0" w:after="0"/>
        <w:jc w:val="left"/>
        <w:rPr>
          <w:rFonts w:ascii="Times New Roman" w:hAnsi="Times New Roman"/>
          <w:sz w:val="20"/>
        </w:rPr>
      </w:pPr>
      <w:r>
        <w:rPr>
          <w:rFonts w:ascii="Times New Roman" w:hAnsi="Times New Roman"/>
          <w:sz w:val="20"/>
        </w:rPr>
      </w:r>
    </w:p>
    <w:tbl>
      <w:tblPr>
        <w:tblW w:w="9183" w:type="dxa"/>
        <w:jc w:val="left"/>
        <w:tblInd w:w="0" w:type="dxa"/>
        <w:tblCellMar>
          <w:top w:w="0" w:type="dxa"/>
          <w:left w:w="0" w:type="dxa"/>
          <w:bottom w:w="0" w:type="dxa"/>
          <w:right w:w="0" w:type="dxa"/>
        </w:tblCellMar>
      </w:tblPr>
      <w:tblGrid>
        <w:gridCol w:w="38"/>
        <w:gridCol w:w="110"/>
        <w:gridCol w:w="9035"/>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90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evaluated management's significant accounting policies related to goodwill impairment for reasonableness.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control premium and market capitalization reconciliation.</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u w:val="single"/>
        </w:rPr>
      </w:pPr>
      <w:r>
        <w:rPr>
          <w:rFonts w:ascii="Times New Roman" w:hAnsi="Times New Roman"/>
          <w:i/>
          <w:color w:val="000000"/>
          <w:sz w:val="20"/>
          <w:u w:val="single"/>
        </w:rPr>
        <w:t>Intangible asset acquisition: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As discussed in Note 3 to the consolidated financial statements, in January 2022, the Company acquired certain assets related to the  Theraclear devices from Theravant Corporation (“Theravant”). The purchase price included an initial cash payment, issuance of common stock and contingent consideration.  The Company determined this transaction represented an asset acquisition as substantially all of the value was being ascribed to one intangible asset as defined by ASC 805, </w:t>
      </w:r>
      <w:r>
        <w:rPr>
          <w:rFonts w:ascii="Times New Roman" w:hAnsi="Times New Roman"/>
          <w:i/>
          <w:color w:val="000000"/>
          <w:sz w:val="20"/>
        </w:rPr>
        <w:t>Business Combinations</w:t>
      </w:r>
      <w:r>
        <w:rPr>
          <w:rFonts w:ascii="Times New Roman" w:hAnsi="Times New Roman"/>
          <w:color w:val="000000"/>
          <w:sz w:val="20"/>
        </w:rPr>
        <w:t xml:space="preserve"> (“ASC 805”). The contingent consideration is accounted for as a contingent liability under ASC 450, </w:t>
      </w:r>
      <w:r>
        <w:rPr>
          <w:rFonts w:ascii="Times New Roman" w:hAnsi="Times New Roman"/>
          <w:i/>
          <w:color w:val="000000"/>
          <w:sz w:val="20"/>
        </w:rPr>
        <w:t>Contingencies</w:t>
      </w:r>
      <w:r>
        <w:rPr>
          <w:rFonts w:ascii="Times New Roman" w:hAnsi="Times New Roman"/>
          <w:color w:val="000000"/>
          <w:sz w:val="20"/>
        </w:rPr>
        <w: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identified the valuation of the acquired intangible asset and contingent consideration as a critical audit matter due to the audit effort relating to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determination of the fair value of the intangible asset and estimate of the contingent consideration liability requires management to make significant estimates and assumptions related to forecasted revenue growth rates, estimated expenses, royalty rate and discount rates.  Such estimates and assumptions were challenging to test as they required forward looking assumptions with a high degree of subjectivity.</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extent of specialized skill and knowledge and consultation outside of the engagement team required to assess the appropriateness of management’s valuation assumptions.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principal audit procedures related to the Company's valuation of the acquired intangible asset and contingent consideration included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evaluated management’s determinations of the assets acquired, liabilities assumed and the consideration paid under the asset purchase agreement for reasonableness.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evaluated management's significant accounting policies related to accounting for asset acquisitions, intangible assets and contingent consideration for reasonableness.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obtained an understanding and evaluated the reasonableness of management’s forecasts of future revenue and estimated expenses by applying procedures to test the financial inputs used in the income approach, including sensitizing management’s cash flow forecasts.</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involved our firm’s valuation professionals, with specialized skills and knowledge, who assisted in assessing assumptions utilized under the income approach.  Such assumptions that were evaluated included the appropriateness of valuation model used, discount rate, selected comparable companies, revenue volatility, cost of equity and royalty rate.</w:t>
            </w:r>
          </w:p>
        </w:tc>
      </w:tr>
    </w:tbl>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We tested the existence, completeness and valuation of the tangible assets acquired and liabilities assumed, to assess the consideration paid reconciliation.</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/s/ Marcum LLP </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Marcum LLP</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Philadelphia, Pennsylvania </w:t>
      </w:r>
    </w:p>
    <w:p>
      <w:pPr>
        <w:pStyle w:val="TextBody"/>
        <w:spacing w:before="0" w:after="160"/>
        <w:jc w:val="left"/>
        <w:rPr>
          <w:rFonts w:ascii="Times New Roman" w:hAnsi="Times New Roman"/>
          <w:color w:val="000000"/>
          <w:sz w:val="20"/>
        </w:rPr>
      </w:pPr>
      <w:r>
        <w:rPr>
          <w:rFonts w:ascii="Times New Roman" w:hAnsi="Times New Roman"/>
          <w:color w:val="000000"/>
          <w:sz w:val="20"/>
        </w:rPr>
        <w:t>March 31, 2023</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rPr>
          <w:t>Table of Contents</w:t>
        </w:r>
      </w:hyperlink>
    </w:p>
    <w:p>
      <w:pPr>
        <w:pStyle w:val="TextBody"/>
        <w:spacing w:before="0" w:after="0"/>
        <w:ind w:left="0" w:right="0" w:hanging="0"/>
        <w:jc w:val="center"/>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r>
    </w:p>
    <w:p>
      <w:pPr>
        <w:pStyle w:val="TextBody"/>
        <w:spacing w:before="0" w:after="0"/>
        <w:ind w:left="0" w:right="0" w:hanging="0"/>
        <w:jc w:val="center"/>
        <w:rPr>
          <w:rFonts w:ascii="Times New Roman" w:hAnsi="Times New Roman"/>
          <w:color w:val="000000"/>
          <w:sz w:val="20"/>
          <w:highlight w:val="white"/>
        </w:rPr>
      </w:pPr>
      <w:r>
        <w:rPr>
          <w:rFonts w:ascii="Times New Roman" w:hAnsi="Times New Roman"/>
          <w:b/>
          <w:i w:val="false"/>
          <w:caps w:val="false"/>
          <w:smallCaps w:val="false"/>
          <w:color w:val="000000"/>
          <w:spacing w:val="0"/>
          <w:sz w:val="20"/>
          <w:highlight w:val="white"/>
        </w:rPr>
        <w:t>STRATA</w:t>
      </w:r>
      <w:r>
        <w:rPr>
          <w:rFonts w:ascii="Times New Roman" w:hAnsi="Times New Roman"/>
          <w:color w:val="000000"/>
          <w:sz w:val="20"/>
          <w:highlight w:val="white"/>
        </w:rPr>
        <w:t xml:space="preserve"> </w:t>
      </w:r>
      <w:r>
        <w:rPr>
          <w:rFonts w:ascii="Times New Roman" w:hAnsi="Times New Roman"/>
          <w:b/>
          <w:color w:val="000000"/>
          <w:sz w:val="20"/>
          <w:highlight w:val="white"/>
        </w:rPr>
        <w:t>Skin Sciences, Inc. and Subsidiary</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 xml:space="preserve">Consolidated </w:t>
      </w:r>
      <w:bookmarkStart w:id="49" w:name="Balance"/>
      <w:bookmarkEnd w:id="49"/>
      <w:r>
        <w:rPr>
          <w:rFonts w:ascii="Times New Roman" w:hAnsi="Times New Roman"/>
          <w:b/>
          <w:color w:val="000000"/>
          <w:sz w:val="20"/>
          <w:highlight w:val="white"/>
        </w:rPr>
        <w:t>Balance Sheets</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(in thousands except share and per share data)</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2185" w:type="dxa"/>
            <w:gridSpan w:val="6"/>
            <w:tcBorders>
              <w:bottom w:val="single" w:sz="12" w:space="0" w:color="000000"/>
            </w:tcBorders>
            <w:shd w:fill="auto" w:val="clear"/>
            <w:tcMar>
              <w:bottom w:w="28" w:type="dxa"/>
            </w:tcMar>
            <w:vAlign w:val="bottom"/>
          </w:tcPr>
          <w:p>
            <w:pPr>
              <w:pStyle w:val="TableContents"/>
              <w:spacing w:before="0" w:after="283"/>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1015"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b/>
              </w:rPr>
            </w:pPr>
            <w:r>
              <w:rPr>
                <w:b/>
              </w:rPr>
              <w:t>Assets</w:t>
            </w:r>
          </w:p>
        </w:tc>
        <w:tc>
          <w:tcPr>
            <w:tcW w:w="60" w:type="dxa"/>
            <w:tcBorders/>
            <w:shd w:fill="auto" w:val="clear"/>
            <w:vAlign w:val="bottom"/>
          </w:tcPr>
          <w:p>
            <w:pPr>
              <w:pStyle w:val="TableContents"/>
              <w:spacing w:before="0" w:after="283"/>
              <w:rPr/>
            </w:pPr>
            <w:r>
              <w:rPr/>
              <w:t> </w:t>
            </w:r>
          </w:p>
        </w:tc>
        <w:tc>
          <w:tcPr>
            <w:tcW w:w="10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Current assets:</w:t>
            </w:r>
          </w:p>
        </w:tc>
        <w:tc>
          <w:tcPr>
            <w:tcW w:w="60" w:type="dxa"/>
            <w:tcBorders/>
            <w:shd w:fill="auto" w:val="clear"/>
            <w:vAlign w:val="bottom"/>
          </w:tcPr>
          <w:p>
            <w:pPr>
              <w:pStyle w:val="TableContents"/>
              <w:spacing w:before="0" w:after="283"/>
              <w:rPr/>
            </w:pPr>
            <w:r>
              <w:rPr/>
              <w:t> </w:t>
            </w:r>
          </w:p>
        </w:tc>
        <w:tc>
          <w:tcPr>
            <w:tcW w:w="10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164" w:right="0" w:hanging="0"/>
              <w:rPr/>
            </w:pPr>
            <w:r>
              <w:rPr/>
              <w:t>Cash and cash equivalents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875" w:type="dxa"/>
            <w:tcBorders/>
            <w:shd w:fill="CCEEFF" w:val="clear"/>
            <w:vAlign w:val="bottom"/>
          </w:tcPr>
          <w:p>
            <w:pPr>
              <w:pStyle w:val="TableContents"/>
              <w:spacing w:before="0" w:after="0"/>
              <w:jc w:val="right"/>
              <w:rPr/>
            </w:pPr>
            <w:r>
              <w:rPr/>
              <w:t>5,434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875" w:type="dxa"/>
            <w:tcBorders/>
            <w:shd w:fill="CCEEFF" w:val="clear"/>
            <w:vAlign w:val="bottom"/>
          </w:tcPr>
          <w:p>
            <w:pPr>
              <w:pStyle w:val="TableContents"/>
              <w:spacing w:before="0" w:after="0"/>
              <w:jc w:val="right"/>
              <w:rPr/>
            </w:pPr>
            <w:r>
              <w:rPr/>
              <w:t>12,586</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Restricted cash</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1,361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360" w:right="0" w:hanging="0"/>
              <w:rPr/>
            </w:pPr>
            <w:r>
              <w:rPr/>
              <w:t>Accounts receivable, net of allowance for doubtful accounts of $382 and $275 at December 31, 2022 and 2021, respectively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4,471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3,433</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Inventories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5,547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3,489</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164" w:right="0" w:hanging="0"/>
              <w:jc w:val="both"/>
              <w:rPr/>
            </w:pPr>
            <w:r>
              <w:rPr/>
              <w:t>Prepaid expenses and other current assets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691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462</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Total current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17,504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19,970</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Property and equipment, net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7,498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6,883</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Operating lease right-of-use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975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638</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Intangible assets, net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17,394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10,083</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Goodwill</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8,803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8,803</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Other assets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98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216</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540" w:right="0" w:hanging="0"/>
              <w:rPr/>
            </w:pPr>
            <w:r>
              <w:rPr/>
              <w:t>Total assets</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75" w:type="dxa"/>
            <w:tcBorders>
              <w:bottom w:val="double" w:sz="8" w:space="0" w:color="000000"/>
            </w:tcBorders>
            <w:shd w:fill="auto" w:val="clear"/>
            <w:tcMar>
              <w:bottom w:w="28" w:type="dxa"/>
            </w:tcMar>
            <w:vAlign w:val="bottom"/>
          </w:tcPr>
          <w:p>
            <w:pPr>
              <w:pStyle w:val="TableContents"/>
              <w:spacing w:before="0" w:after="0"/>
              <w:jc w:val="right"/>
              <w:rPr/>
            </w:pPr>
            <w:r>
              <w:rPr/>
              <w:t>52,272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75" w:type="dxa"/>
            <w:tcBorders>
              <w:bottom w:val="double" w:sz="8" w:space="0" w:color="000000"/>
            </w:tcBorders>
            <w:shd w:fill="auto" w:val="clear"/>
            <w:tcMar>
              <w:bottom w:w="28" w:type="dxa"/>
            </w:tcMar>
            <w:vAlign w:val="bottom"/>
          </w:tcPr>
          <w:p>
            <w:pPr>
              <w:pStyle w:val="TableContents"/>
              <w:spacing w:before="0" w:after="0"/>
              <w:jc w:val="right"/>
              <w:rPr/>
            </w:pPr>
            <w:r>
              <w:rPr/>
              <w:t>46,593</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b/>
              </w:rPr>
            </w:pPr>
            <w:r>
              <w:rPr>
                <w:b/>
              </w:rPr>
              <w:t>Liabilities and Stockholders’ Equity</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Current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Accounts payable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pPr>
            <w:r>
              <w:rPr/>
              <w:t>$</w:t>
            </w:r>
          </w:p>
        </w:tc>
        <w:tc>
          <w:tcPr>
            <w:tcW w:w="875" w:type="dxa"/>
            <w:tcBorders/>
            <w:shd w:fill="auto" w:val="clear"/>
            <w:vAlign w:val="bottom"/>
          </w:tcPr>
          <w:p>
            <w:pPr>
              <w:pStyle w:val="TableContents"/>
              <w:spacing w:before="0" w:after="0"/>
              <w:jc w:val="right"/>
              <w:rPr/>
            </w:pPr>
            <w:r>
              <w:rPr/>
              <w:t>3,425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0"/>
              <w:jc w:val="left"/>
              <w:rPr/>
            </w:pPr>
            <w:r>
              <w:rPr/>
              <w:t>$</w:t>
            </w:r>
          </w:p>
        </w:tc>
        <w:tc>
          <w:tcPr>
            <w:tcW w:w="875" w:type="dxa"/>
            <w:tcBorders/>
            <w:shd w:fill="auto" w:val="clear"/>
            <w:vAlign w:val="bottom"/>
          </w:tcPr>
          <w:p>
            <w:pPr>
              <w:pStyle w:val="TableContents"/>
              <w:spacing w:before="0" w:after="0"/>
              <w:jc w:val="right"/>
              <w:rPr/>
            </w:pPr>
            <w:r>
              <w:rPr/>
              <w:t>2,822</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164" w:right="0" w:hanging="0"/>
              <w:rPr/>
            </w:pPr>
            <w:r>
              <w:rPr/>
              <w:t>Accrued expenses and other current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6,555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6,377</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Deferred revenues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2,778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3,285</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164" w:right="0" w:hanging="0"/>
              <w:rPr/>
            </w:pPr>
            <w:r>
              <w:rPr/>
              <w:t>Current portion of operating lease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355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318</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80" w:right="0" w:hanging="0"/>
              <w:rPr/>
            </w:pPr>
            <w:r>
              <w:rPr/>
              <w:t xml:space="preserve">Current portion of contingent consideration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283"/>
              <w:jc w:val="right"/>
              <w:rPr/>
            </w:pPr>
            <w:r>
              <w:rPr/>
              <w:t>313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360" w:right="0" w:hanging="0"/>
              <w:rPr/>
            </w:pPr>
            <w:r>
              <w:rPr/>
              <w:t>Total current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13,426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12,802</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Long-term debt, net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7,476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7,319</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Deferred revenues and other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314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400</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Deferred tax liability</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306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266</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Operating lease liabilities, net of current portion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610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392</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283"/>
              <w:rPr/>
            </w:pPr>
            <w:r>
              <w:rPr/>
              <w:t xml:space="preserve">Contingent consideration, net of current portion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283"/>
              <w:jc w:val="right"/>
              <w:rPr/>
            </w:pPr>
            <w:r>
              <w:rPr/>
              <w:t>8,309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360" w:right="0" w:hanging="0"/>
              <w:rPr/>
            </w:pPr>
            <w:r>
              <w:rPr/>
              <w:t>Total liabilities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30,441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21,179</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rPr/>
            </w:pPr>
            <w:r>
              <w:rPr/>
              <w:t>Commitments and contingencies (Note 12)</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rPr/>
            </w:pPr>
            <w:r>
              <w:rPr/>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283"/>
              <w:jc w:val="right"/>
              <w:rPr/>
            </w:pPr>
            <w:r>
              <w:rPr/>
              <w:t xml:space="preserve">  </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rPr/>
            </w:pPr>
            <w:r>
              <w:rPr/>
              <w:t>Stockholders’ equity: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Series C convertible preferred stock, $0.10 par value; 10,000,000 shares authorized, no shares issued and outstanding</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164" w:right="0" w:hanging="0"/>
              <w:rPr/>
            </w:pPr>
            <w:r>
              <w:rPr/>
              <w:t>Common stock, $0.001 par value; 150,000,000 shares authorized; 34,723,046 and 34,364,679 shares issued and outstanding at December 31, 2022 and 2021, respectively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0"/>
              <w:jc w:val="right"/>
              <w:rPr/>
            </w:pPr>
            <w:r>
              <w:rPr/>
              <w:t>34</w:t>
            </w:r>
          </w:p>
        </w:tc>
        <w:tc>
          <w:tcPr>
            <w:tcW w:w="110" w:type="dxa"/>
            <w:tcBorders/>
            <w:shd w:fill="CCEEFF" w:val="clear"/>
            <w:vAlign w:val="bottom"/>
          </w:tcPr>
          <w:p>
            <w:pPr>
              <w:pStyle w:val="TableContents"/>
              <w:spacing w:before="0" w:after="283"/>
              <w:jc w:val="left"/>
              <w:rPr/>
            </w:pPr>
            <w:r>
              <w:rPr/>
              <w:t> </w:t>
            </w:r>
          </w:p>
        </w:tc>
      </w:tr>
      <w:tr>
        <w:trPr/>
        <w:tc>
          <w:tcPr>
            <w:tcW w:w="7850" w:type="dxa"/>
            <w:tcBorders/>
            <w:shd w:fill="auto" w:val="clear"/>
            <w:vAlign w:val="bottom"/>
          </w:tcPr>
          <w:p>
            <w:pPr>
              <w:pStyle w:val="TableContents"/>
              <w:spacing w:before="0" w:after="0"/>
              <w:ind w:left="164" w:right="0" w:hanging="0"/>
              <w:rPr/>
            </w:pPr>
            <w:r>
              <w:rPr/>
              <w:t>Additional paid-in capital</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249,024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75" w:type="dxa"/>
            <w:tcBorders/>
            <w:shd w:fill="auto" w:val="clear"/>
            <w:vAlign w:val="bottom"/>
          </w:tcPr>
          <w:p>
            <w:pPr>
              <w:pStyle w:val="TableContents"/>
              <w:spacing w:before="0" w:after="0"/>
              <w:jc w:val="right"/>
              <w:rPr/>
            </w:pPr>
            <w:r>
              <w:rPr/>
              <w:t>247,059</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0" w:right="0" w:firstLine="164"/>
              <w:rPr/>
            </w:pPr>
            <w:r>
              <w:rPr/>
              <w:t>Accumulated deficit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(227,228</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(221,679</w:t>
            </w:r>
          </w:p>
        </w:tc>
        <w:tc>
          <w:tcPr>
            <w:tcW w:w="110" w:type="dxa"/>
            <w:tcBorders/>
            <w:shd w:fill="CCEEFF" w:val="clear"/>
            <w:vAlign w:val="bottom"/>
          </w:tcPr>
          <w:p>
            <w:pPr>
              <w:pStyle w:val="TableContents"/>
              <w:spacing w:before="0" w:after="0"/>
              <w:jc w:val="left"/>
              <w:rPr/>
            </w:pPr>
            <w:r>
              <w:rPr/>
              <w:t>)</w:t>
            </w:r>
          </w:p>
        </w:tc>
      </w:tr>
      <w:tr>
        <w:trPr/>
        <w:tc>
          <w:tcPr>
            <w:tcW w:w="7850" w:type="dxa"/>
            <w:tcBorders/>
            <w:shd w:fill="auto" w:val="clear"/>
            <w:vAlign w:val="bottom"/>
          </w:tcPr>
          <w:p>
            <w:pPr>
              <w:pStyle w:val="TableContents"/>
              <w:spacing w:before="0" w:after="0"/>
              <w:ind w:left="180" w:right="0" w:firstLine="164"/>
              <w:rPr/>
            </w:pPr>
            <w:r>
              <w:rPr/>
              <w:t>Total stockholders’ equity</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0"/>
              <w:jc w:val="right"/>
              <w:rPr/>
            </w:pPr>
            <w:r>
              <w:rPr/>
              <w:t>21,831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auto" w:val="clear"/>
            <w:tcMar>
              <w:bottom w:w="28" w:type="dxa"/>
            </w:tcMar>
            <w:vAlign w:val="bottom"/>
          </w:tcPr>
          <w:p>
            <w:pPr>
              <w:pStyle w:val="TableContents"/>
              <w:spacing w:before="0" w:after="0"/>
              <w:jc w:val="right"/>
              <w:rPr/>
            </w:pPr>
            <w:r>
              <w:rPr/>
              <w:t>25,414</w:t>
            </w:r>
          </w:p>
        </w:tc>
        <w:tc>
          <w:tcPr>
            <w:tcW w:w="110" w:type="dxa"/>
            <w:tcBorders/>
            <w:shd w:fill="auto" w:val="clear"/>
            <w:vAlign w:val="bottom"/>
          </w:tcPr>
          <w:p>
            <w:pPr>
              <w:pStyle w:val="TableContents"/>
              <w:spacing w:before="0" w:after="283"/>
              <w:jc w:val="left"/>
              <w:rPr/>
            </w:pPr>
            <w:r>
              <w:rPr/>
              <w:t> </w:t>
            </w:r>
          </w:p>
        </w:tc>
      </w:tr>
      <w:tr>
        <w:trPr/>
        <w:tc>
          <w:tcPr>
            <w:tcW w:w="7850" w:type="dxa"/>
            <w:tcBorders/>
            <w:shd w:fill="CCEEFF" w:val="clear"/>
            <w:vAlign w:val="bottom"/>
          </w:tcPr>
          <w:p>
            <w:pPr>
              <w:pStyle w:val="TableContents"/>
              <w:spacing w:before="0" w:after="0"/>
              <w:ind w:left="540" w:right="0" w:hanging="0"/>
              <w:rPr/>
            </w:pPr>
            <w:r>
              <w:rPr/>
              <w:t>Total liabilities and stockholders’ equity</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52,272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46,593</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highlight w:val="white"/>
        </w:rPr>
      </w:pPr>
      <w:r>
        <w:rPr>
          <w:rFonts w:ascii="Times New Roman" w:hAnsi="Times New Roman"/>
          <w:color w:val="000000"/>
          <w:sz w:val="20"/>
          <w:highlight w:val="white"/>
        </w:rPr>
        <w:t>The accompanying notes are an integral part of these consolidated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highlight w:val="white"/>
          </w:rPr>
          <w:t>Table of Contents</w:t>
        </w:r>
      </w:hyperlink>
    </w:p>
    <w:p>
      <w:pPr>
        <w:pStyle w:val="TextBody"/>
        <w:spacing w:before="0" w:after="0"/>
        <w:ind w:left="0" w:right="0" w:hanging="0"/>
        <w:jc w:val="center"/>
        <w:rPr>
          <w:rFonts w:ascii="Times New Roman" w:hAnsi="Times New Roman"/>
          <w:color w:val="000000"/>
          <w:sz w:val="20"/>
          <w:highlight w:val="white"/>
        </w:rPr>
      </w:pPr>
      <w:r>
        <w:rPr>
          <w:rFonts w:ascii="Times New Roman" w:hAnsi="Times New Roman"/>
          <w:b/>
          <w:i w:val="false"/>
          <w:caps w:val="false"/>
          <w:smallCaps w:val="false"/>
          <w:color w:val="000000"/>
          <w:spacing w:val="0"/>
          <w:sz w:val="20"/>
          <w:highlight w:val="white"/>
        </w:rPr>
        <w:t>STRATA</w:t>
      </w:r>
      <w:r>
        <w:rPr>
          <w:rFonts w:ascii="Times New Roman" w:hAnsi="Times New Roman"/>
          <w:color w:val="000000"/>
          <w:sz w:val="20"/>
          <w:highlight w:val="white"/>
        </w:rPr>
        <w:t xml:space="preserve"> </w:t>
      </w:r>
      <w:r>
        <w:rPr>
          <w:rFonts w:ascii="Times New Roman" w:hAnsi="Times New Roman"/>
          <w:b/>
          <w:color w:val="000000"/>
          <w:sz w:val="20"/>
          <w:highlight w:val="white"/>
        </w:rPr>
        <w:t>Skin Sciences, Inc. and Subsidiary</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 xml:space="preserve">Consolidated Statements of </w:t>
      </w:r>
      <w:bookmarkStart w:id="50" w:name="Operations"/>
      <w:bookmarkEnd w:id="50"/>
      <w:r>
        <w:rPr>
          <w:rFonts w:ascii="Times New Roman" w:hAnsi="Times New Roman"/>
          <w:b/>
          <w:color w:val="000000"/>
          <w:sz w:val="20"/>
          <w:highlight w:val="white"/>
        </w:rPr>
        <w:t>Operations</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(in thousands except share and per share data)</w:t>
      </w:r>
    </w:p>
    <w:p>
      <w:pPr>
        <w:pStyle w:val="TextBody"/>
        <w:spacing w:before="0" w:after="0"/>
        <w:jc w:val="left"/>
        <w:rPr>
          <w:rFonts w:ascii="Times New Roman" w:hAnsi="Times New Roman"/>
          <w:sz w:val="20"/>
        </w:rPr>
      </w:pPr>
      <w:r>
        <w:rPr>
          <w:rFonts w:ascii="Times New Roman" w:hAnsi="Times New Roman"/>
          <w:sz w:val="20"/>
        </w:rPr>
      </w:r>
    </w:p>
    <w:tbl>
      <w:tblPr>
        <w:tblW w:w="9837" w:type="dxa"/>
        <w:jc w:val="left"/>
        <w:tblInd w:w="0" w:type="dxa"/>
        <w:tblCellMar>
          <w:top w:w="0" w:type="dxa"/>
          <w:left w:w="0" w:type="dxa"/>
          <w:bottom w:w="0" w:type="dxa"/>
          <w:right w:w="0" w:type="dxa"/>
        </w:tblCellMar>
      </w:tblPr>
      <w:tblGrid>
        <w:gridCol w:w="6950"/>
        <w:gridCol w:w="60"/>
        <w:gridCol w:w="144"/>
        <w:gridCol w:w="1135"/>
        <w:gridCol w:w="98"/>
        <w:gridCol w:w="61"/>
        <w:gridCol w:w="144"/>
        <w:gridCol w:w="1135"/>
        <w:gridCol w:w="110"/>
      </w:tblGrid>
      <w:tr>
        <w:trPr/>
        <w:tc>
          <w:tcPr>
            <w:tcW w:w="6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17"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Year Ended December 31,</w:t>
            </w:r>
          </w:p>
        </w:tc>
        <w:tc>
          <w:tcPr>
            <w:tcW w:w="110" w:type="dxa"/>
            <w:tcBorders/>
            <w:shd w:fill="auto"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rPr/>
            </w:pPr>
            <w:r>
              <w:rPr/>
              <w:t>Revenues, net</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pPr>
            <w:r>
              <w:rPr/>
              <w:t>$</w:t>
            </w:r>
          </w:p>
        </w:tc>
        <w:tc>
          <w:tcPr>
            <w:tcW w:w="1135" w:type="dxa"/>
            <w:tcBorders/>
            <w:shd w:fill="CCEEFF" w:val="clear"/>
            <w:vAlign w:val="bottom"/>
          </w:tcPr>
          <w:p>
            <w:pPr>
              <w:pStyle w:val="TableContents"/>
              <w:spacing w:before="0" w:after="0"/>
              <w:jc w:val="right"/>
              <w:rPr/>
            </w:pPr>
            <w:r>
              <w:rPr/>
              <w:t>36,161</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pPr>
            <w:r>
              <w:rPr/>
              <w:t>$</w:t>
            </w:r>
          </w:p>
        </w:tc>
        <w:tc>
          <w:tcPr>
            <w:tcW w:w="1135" w:type="dxa"/>
            <w:tcBorders/>
            <w:shd w:fill="CCEEFF" w:val="clear"/>
            <w:vAlign w:val="bottom"/>
          </w:tcPr>
          <w:p>
            <w:pPr>
              <w:pStyle w:val="TableContents"/>
              <w:spacing w:before="0" w:after="0"/>
              <w:jc w:val="right"/>
              <w:rPr/>
            </w:pPr>
            <w:r>
              <w:rPr/>
              <w:t>29,977</w:t>
            </w:r>
          </w:p>
        </w:tc>
        <w:tc>
          <w:tcPr>
            <w:tcW w:w="110" w:type="dxa"/>
            <w:tcBorders/>
            <w:shd w:fill="CCEEFF"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0"/>
              <w:rPr/>
            </w:pPr>
            <w:r>
              <w:rPr/>
              <w:t>Cost of revenues</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14,393</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10,127</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230" w:right="0" w:hanging="0"/>
              <w:rPr/>
            </w:pPr>
            <w:r>
              <w:rPr/>
              <w:t>Gross profit</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21,768</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19,850</w:t>
            </w:r>
          </w:p>
        </w:tc>
        <w:tc>
          <w:tcPr>
            <w:tcW w:w="110" w:type="dxa"/>
            <w:tcBorders/>
            <w:shd w:fill="CCEEFF"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0"/>
              <w:rPr/>
            </w:pPr>
            <w:r>
              <w:rPr/>
              <w:t>Operating expenses:</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0" w:right="0" w:firstLine="200"/>
              <w:rPr/>
            </w:pPr>
            <w:r>
              <w:rPr/>
              <w:t>Engineering and product development</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1,029</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1,434</w:t>
            </w:r>
          </w:p>
        </w:tc>
        <w:tc>
          <w:tcPr>
            <w:tcW w:w="110" w:type="dxa"/>
            <w:tcBorders/>
            <w:shd w:fill="CCEEFF"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0"/>
              <w:ind w:left="230" w:right="0" w:hanging="0"/>
              <w:rPr/>
            </w:pPr>
            <w:r>
              <w:rPr/>
              <w:t>Selling and marketing</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0"/>
              <w:jc w:val="right"/>
              <w:rPr/>
            </w:pPr>
            <w:r>
              <w:rPr/>
              <w:t>15,301</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0"/>
              <w:jc w:val="right"/>
              <w:rPr/>
            </w:pPr>
            <w:r>
              <w:rPr/>
              <w:t>13,106</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230" w:right="0" w:hanging="0"/>
              <w:rPr/>
            </w:pPr>
            <w:r>
              <w:rPr/>
              <w:t>General and administrative</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10,087</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9,712</w:t>
            </w:r>
          </w:p>
        </w:tc>
        <w:tc>
          <w:tcPr>
            <w:tcW w:w="110" w:type="dxa"/>
            <w:tcBorders/>
            <w:shd w:fill="CCEEFF"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26,417</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24,252</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rPr/>
            </w:pPr>
            <w:r>
              <w:rPr/>
              <w:t>Loss from operations</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(4,649</w:t>
            </w:r>
          </w:p>
        </w:tc>
        <w:tc>
          <w:tcPr>
            <w:tcW w:w="98" w:type="dxa"/>
            <w:tcBorders/>
            <w:shd w:fill="CCEEFF" w:val="clear"/>
            <w:vAlign w:val="bottom"/>
          </w:tcPr>
          <w:p>
            <w:pPr>
              <w:pStyle w:val="TableContents"/>
              <w:spacing w:before="0" w:after="0"/>
              <w:jc w:val="left"/>
              <w:rPr/>
            </w:pPr>
            <w:r>
              <w:rPr/>
              <w:t>)</w:t>
            </w:r>
          </w:p>
        </w:tc>
        <w:tc>
          <w:tcPr>
            <w:tcW w:w="61"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(4,402</w:t>
            </w:r>
          </w:p>
        </w:tc>
        <w:tc>
          <w:tcPr>
            <w:tcW w:w="110" w:type="dxa"/>
            <w:tcBorders/>
            <w:shd w:fill="CCEEFF" w:val="clear"/>
            <w:vAlign w:val="bottom"/>
          </w:tcPr>
          <w:p>
            <w:pPr>
              <w:pStyle w:val="TableContents"/>
              <w:spacing w:before="0" w:after="0"/>
              <w:jc w:val="left"/>
              <w:rPr/>
            </w:pPr>
            <w:r>
              <w:rPr/>
              <w:t>)</w:t>
            </w:r>
          </w:p>
        </w:tc>
      </w:tr>
      <w:tr>
        <w:trPr/>
        <w:tc>
          <w:tcPr>
            <w:tcW w:w="6950" w:type="dxa"/>
            <w:tcBorders/>
            <w:shd w:fill="auto" w:val="clear"/>
            <w:vAlign w:val="bottom"/>
          </w:tcPr>
          <w:p>
            <w:pPr>
              <w:pStyle w:val="TableContents"/>
              <w:spacing w:before="0" w:after="0"/>
              <w:rPr/>
            </w:pPr>
            <w:r>
              <w:rPr/>
              <w:t>Other (expense) income:</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0" w:right="0" w:firstLine="200"/>
              <w:rPr/>
            </w:pPr>
            <w:r>
              <w:rPr/>
              <w:t>Interest expense</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(926</w:t>
            </w:r>
          </w:p>
        </w:tc>
        <w:tc>
          <w:tcPr>
            <w:tcW w:w="98" w:type="dxa"/>
            <w:tcBorders/>
            <w:shd w:fill="CCEEFF" w:val="clear"/>
            <w:vAlign w:val="bottom"/>
          </w:tcPr>
          <w:p>
            <w:pPr>
              <w:pStyle w:val="TableContents"/>
              <w:spacing w:before="0" w:after="0"/>
              <w:jc w:val="left"/>
              <w:rPr/>
            </w:pPr>
            <w:r>
              <w:rPr/>
              <w:t>)</w:t>
            </w:r>
          </w:p>
        </w:tc>
        <w:tc>
          <w:tcPr>
            <w:tcW w:w="61"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(314</w:t>
            </w:r>
          </w:p>
        </w:tc>
        <w:tc>
          <w:tcPr>
            <w:tcW w:w="110" w:type="dxa"/>
            <w:tcBorders/>
            <w:shd w:fill="CCEEFF" w:val="clear"/>
            <w:vAlign w:val="bottom"/>
          </w:tcPr>
          <w:p>
            <w:pPr>
              <w:pStyle w:val="TableContents"/>
              <w:spacing w:before="0" w:after="0"/>
              <w:jc w:val="left"/>
              <w:rPr/>
            </w:pPr>
            <w:r>
              <w:rPr/>
              <w:t>)</w:t>
            </w:r>
          </w:p>
        </w:tc>
      </w:tr>
      <w:tr>
        <w:trPr/>
        <w:tc>
          <w:tcPr>
            <w:tcW w:w="6950" w:type="dxa"/>
            <w:tcBorders/>
            <w:shd w:fill="auto" w:val="clear"/>
            <w:vAlign w:val="bottom"/>
          </w:tcPr>
          <w:p>
            <w:pPr>
              <w:pStyle w:val="TableContents"/>
              <w:spacing w:before="0" w:after="0"/>
              <w:ind w:left="180" w:right="0" w:hanging="0"/>
              <w:rPr/>
            </w:pPr>
            <w:r>
              <w:rPr/>
              <w:t>Interest income</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89</w:t>
            </w:r>
          </w:p>
        </w:tc>
        <w:tc>
          <w:tcPr>
            <w:tcW w:w="98"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1135" w:type="dxa"/>
            <w:tcBorders/>
            <w:shd w:fill="auto" w:val="clear"/>
            <w:vAlign w:val="bottom"/>
          </w:tcPr>
          <w:p>
            <w:pPr>
              <w:pStyle w:val="TableContents"/>
              <w:spacing w:before="0" w:after="283"/>
              <w:jc w:val="right"/>
              <w:rPr/>
            </w:pPr>
            <w:r>
              <w:rPr/>
              <w:t>15</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0" w:right="0" w:firstLine="200"/>
              <w:rPr/>
            </w:pPr>
            <w:r>
              <w:rPr/>
              <w:t>Gain on forgiveness of debt</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CCEEFF" w:val="clear"/>
            <w:tcMar>
              <w:bottom w:w="28" w:type="dxa"/>
            </w:tcMar>
            <w:vAlign w:val="bottom"/>
          </w:tcPr>
          <w:p>
            <w:pPr>
              <w:pStyle w:val="TableContents"/>
              <w:spacing w:before="0" w:after="0"/>
              <w:jc w:val="right"/>
              <w:rPr/>
            </w:pPr>
            <w:r>
              <w:rPr/>
              <w:t>2,029</w:t>
            </w:r>
          </w:p>
        </w:tc>
        <w:tc>
          <w:tcPr>
            <w:tcW w:w="110" w:type="dxa"/>
            <w:tcBorders/>
            <w:shd w:fill="CCEEFF" w:val="clear"/>
            <w:vAlign w:val="bottom"/>
          </w:tcPr>
          <w:p>
            <w:pPr>
              <w:pStyle w:val="TableContents"/>
              <w:spacing w:before="0" w:after="283"/>
              <w:jc w:val="left"/>
              <w:rPr/>
            </w:pPr>
            <w:r>
              <w:rPr/>
              <w:t> </w:t>
            </w:r>
          </w:p>
        </w:tc>
      </w:tr>
      <w:tr>
        <w:trPr/>
        <w:tc>
          <w:tcPr>
            <w:tcW w:w="695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(837</w:t>
            </w:r>
          </w:p>
        </w:tc>
        <w:tc>
          <w:tcPr>
            <w:tcW w:w="98" w:type="dxa"/>
            <w:tcBorders/>
            <w:shd w:fill="auto" w:val="clear"/>
            <w:vAlign w:val="bottom"/>
          </w:tcPr>
          <w:p>
            <w:pPr>
              <w:pStyle w:val="TableContents"/>
              <w:spacing w:before="0" w:after="0"/>
              <w:jc w:val="left"/>
              <w:rPr/>
            </w:pPr>
            <w:r>
              <w:rPr/>
              <w:t>)</w:t>
            </w:r>
          </w:p>
        </w:tc>
        <w:tc>
          <w:tcPr>
            <w:tcW w:w="61"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1,730</w:t>
            </w:r>
          </w:p>
        </w:tc>
        <w:tc>
          <w:tcPr>
            <w:tcW w:w="110" w:type="dxa"/>
            <w:tcBorders/>
            <w:shd w:fill="auto" w:val="clear"/>
            <w:vAlign w:val="bottom"/>
          </w:tcPr>
          <w:p>
            <w:pPr>
              <w:pStyle w:val="TableContents"/>
              <w:spacing w:before="0" w:after="283"/>
              <w:jc w:val="left"/>
              <w:rPr/>
            </w:pPr>
            <w:r>
              <w:rPr/>
              <w:t> </w:t>
            </w:r>
          </w:p>
        </w:tc>
      </w:tr>
      <w:tr>
        <w:trPr/>
        <w:tc>
          <w:tcPr>
            <w:tcW w:w="6950" w:type="dxa"/>
            <w:tcBorders/>
            <w:shd w:fill="CCEEFF" w:val="clear"/>
            <w:vAlign w:val="bottom"/>
          </w:tcPr>
          <w:p>
            <w:pPr>
              <w:pStyle w:val="TableContents"/>
              <w:spacing w:before="0" w:after="0"/>
              <w:ind w:left="180" w:right="0" w:hanging="180"/>
              <w:rPr/>
            </w:pPr>
            <w:r>
              <w:rPr/>
              <w:t>Loss before income tax expense</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(5,486</w:t>
            </w:r>
          </w:p>
        </w:tc>
        <w:tc>
          <w:tcPr>
            <w:tcW w:w="98" w:type="dxa"/>
            <w:tcBorders/>
            <w:shd w:fill="CCEEFF" w:val="clear"/>
            <w:vAlign w:val="bottom"/>
          </w:tcPr>
          <w:p>
            <w:pPr>
              <w:pStyle w:val="TableContents"/>
              <w:spacing w:before="0" w:after="0"/>
              <w:jc w:val="left"/>
              <w:rPr/>
            </w:pPr>
            <w:r>
              <w:rPr/>
              <w:t>)</w:t>
            </w:r>
          </w:p>
        </w:tc>
        <w:tc>
          <w:tcPr>
            <w:tcW w:w="61"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1135" w:type="dxa"/>
            <w:tcBorders/>
            <w:shd w:fill="CCEEFF" w:val="clear"/>
            <w:vAlign w:val="bottom"/>
          </w:tcPr>
          <w:p>
            <w:pPr>
              <w:pStyle w:val="TableContents"/>
              <w:spacing w:before="0" w:after="0"/>
              <w:jc w:val="right"/>
              <w:rPr/>
            </w:pPr>
            <w:r>
              <w:rPr/>
              <w:t>(2,672</w:t>
            </w:r>
          </w:p>
        </w:tc>
        <w:tc>
          <w:tcPr>
            <w:tcW w:w="110" w:type="dxa"/>
            <w:tcBorders/>
            <w:shd w:fill="CCEEFF" w:val="clear"/>
            <w:vAlign w:val="bottom"/>
          </w:tcPr>
          <w:p>
            <w:pPr>
              <w:pStyle w:val="TableContents"/>
              <w:spacing w:before="0" w:after="0"/>
              <w:jc w:val="left"/>
              <w:rPr/>
            </w:pPr>
            <w:r>
              <w:rPr/>
              <w:t>)</w:t>
            </w:r>
          </w:p>
        </w:tc>
      </w:tr>
      <w:tr>
        <w:trPr/>
        <w:tc>
          <w:tcPr>
            <w:tcW w:w="6950" w:type="dxa"/>
            <w:tcBorders/>
            <w:shd w:fill="auto" w:val="clear"/>
            <w:vAlign w:val="bottom"/>
          </w:tcPr>
          <w:p>
            <w:pPr>
              <w:pStyle w:val="TableContents"/>
              <w:spacing w:before="0" w:after="0"/>
              <w:ind w:left="180" w:right="0" w:hanging="180"/>
              <w:rPr/>
            </w:pPr>
            <w:r>
              <w:rPr/>
              <w:t>Income tax expense</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(63</w:t>
            </w:r>
          </w:p>
        </w:tc>
        <w:tc>
          <w:tcPr>
            <w:tcW w:w="98" w:type="dxa"/>
            <w:tcBorders/>
            <w:shd w:fill="auto" w:val="clear"/>
            <w:vAlign w:val="bottom"/>
          </w:tcPr>
          <w:p>
            <w:pPr>
              <w:pStyle w:val="TableContents"/>
              <w:spacing w:before="0" w:after="0"/>
              <w:jc w:val="left"/>
              <w:rPr/>
            </w:pPr>
            <w:r>
              <w:rPr/>
              <w:t>)</w:t>
            </w:r>
          </w:p>
        </w:tc>
        <w:tc>
          <w:tcPr>
            <w:tcW w:w="61"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5" w:type="dxa"/>
            <w:tcBorders>
              <w:bottom w:val="single" w:sz="12" w:space="0" w:color="000000"/>
            </w:tcBorders>
            <w:shd w:fill="auto" w:val="clear"/>
            <w:tcMar>
              <w:bottom w:w="28" w:type="dxa"/>
            </w:tcMar>
            <w:vAlign w:val="bottom"/>
          </w:tcPr>
          <w:p>
            <w:pPr>
              <w:pStyle w:val="TableContents"/>
              <w:spacing w:before="0" w:after="0"/>
              <w:jc w:val="right"/>
              <w:rPr/>
            </w:pPr>
            <w:r>
              <w:rPr/>
              <w:t>(34</w:t>
            </w:r>
          </w:p>
        </w:tc>
        <w:tc>
          <w:tcPr>
            <w:tcW w:w="110" w:type="dxa"/>
            <w:tcBorders/>
            <w:shd w:fill="auto" w:val="clear"/>
            <w:vAlign w:val="bottom"/>
          </w:tcPr>
          <w:p>
            <w:pPr>
              <w:pStyle w:val="TableContents"/>
              <w:spacing w:before="0" w:after="0"/>
              <w:jc w:val="left"/>
              <w:rPr/>
            </w:pPr>
            <w:r>
              <w:rPr/>
              <w:t>)</w:t>
            </w:r>
          </w:p>
        </w:tc>
      </w:tr>
      <w:tr>
        <w:trPr/>
        <w:tc>
          <w:tcPr>
            <w:tcW w:w="6950" w:type="dxa"/>
            <w:tcBorders/>
            <w:shd w:fill="CCEEFF" w:val="clear"/>
            <w:vAlign w:val="bottom"/>
          </w:tcPr>
          <w:p>
            <w:pPr>
              <w:pStyle w:val="TableContents"/>
              <w:spacing w:before="0" w:after="0"/>
              <w:ind w:left="180" w:right="0" w:hanging="180"/>
              <w:rPr/>
            </w:pPr>
            <w:r>
              <w:rPr/>
              <w:t>Net loss</w:t>
            </w:r>
          </w:p>
        </w:tc>
        <w:tc>
          <w:tcPr>
            <w:tcW w:w="60"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35" w:type="dxa"/>
            <w:tcBorders>
              <w:bottom w:val="double" w:sz="8" w:space="0" w:color="000000"/>
            </w:tcBorders>
            <w:shd w:fill="CCEEFF" w:val="clear"/>
            <w:tcMar>
              <w:bottom w:w="28" w:type="dxa"/>
            </w:tcMar>
            <w:vAlign w:val="bottom"/>
          </w:tcPr>
          <w:p>
            <w:pPr>
              <w:pStyle w:val="TableContents"/>
              <w:spacing w:before="0" w:after="0"/>
              <w:jc w:val="right"/>
              <w:rPr/>
            </w:pPr>
            <w:r>
              <w:rPr/>
              <w:t>(5,549</w:t>
            </w:r>
          </w:p>
        </w:tc>
        <w:tc>
          <w:tcPr>
            <w:tcW w:w="98" w:type="dxa"/>
            <w:tcBorders/>
            <w:shd w:fill="CCEEFF" w:val="clear"/>
            <w:vAlign w:val="bottom"/>
          </w:tcPr>
          <w:p>
            <w:pPr>
              <w:pStyle w:val="TableContents"/>
              <w:spacing w:before="0" w:after="0"/>
              <w:jc w:val="left"/>
              <w:rPr/>
            </w:pPr>
            <w:r>
              <w:rPr/>
              <w:t>)</w:t>
            </w:r>
          </w:p>
        </w:tc>
        <w:tc>
          <w:tcPr>
            <w:tcW w:w="61"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1135" w:type="dxa"/>
            <w:tcBorders>
              <w:bottom w:val="double" w:sz="8" w:space="0" w:color="000000"/>
            </w:tcBorders>
            <w:shd w:fill="CCEEFF" w:val="clear"/>
            <w:tcMar>
              <w:bottom w:w="28" w:type="dxa"/>
            </w:tcMar>
            <w:vAlign w:val="bottom"/>
          </w:tcPr>
          <w:p>
            <w:pPr>
              <w:pStyle w:val="TableContents"/>
              <w:spacing w:before="0" w:after="0"/>
              <w:jc w:val="right"/>
              <w:rPr/>
            </w:pPr>
            <w:r>
              <w:rPr/>
              <w:t>(2,706</w:t>
            </w:r>
          </w:p>
        </w:tc>
        <w:tc>
          <w:tcPr>
            <w:tcW w:w="110" w:type="dxa"/>
            <w:tcBorders/>
            <w:shd w:fill="CCEEFF" w:val="clear"/>
            <w:vAlign w:val="bottom"/>
          </w:tcPr>
          <w:p>
            <w:pPr>
              <w:pStyle w:val="TableContents"/>
              <w:spacing w:before="0" w:after="0"/>
              <w:ind w:left="180" w:right="0" w:hanging="180"/>
              <w:jc w:val="left"/>
              <w:rPr/>
            </w:pPr>
            <w:r>
              <w:rPr/>
              <w:t>)</w:t>
            </w:r>
          </w:p>
        </w:tc>
      </w:tr>
      <w:tr>
        <w:trPr/>
        <w:tc>
          <w:tcPr>
            <w:tcW w:w="6950" w:type="dxa"/>
            <w:tcBorders/>
            <w:shd w:fill="auto" w:val="clear"/>
            <w:vAlign w:val="bottom"/>
          </w:tcPr>
          <w:p>
            <w:pPr>
              <w:pStyle w:val="TableContents"/>
              <w:spacing w:before="0" w:after="0"/>
              <w:ind w:left="360" w:right="0" w:hanging="180"/>
              <w:rPr/>
            </w:pPr>
            <w:r>
              <w:rPr/>
              <w:t>Net loss per share of common stock, basic and diluted</w:t>
            </w:r>
          </w:p>
        </w:tc>
        <w:tc>
          <w:tcPr>
            <w:tcW w:w="60"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35" w:type="dxa"/>
            <w:tcBorders>
              <w:bottom w:val="double" w:sz="8" w:space="0" w:color="000000"/>
            </w:tcBorders>
            <w:shd w:fill="auto" w:val="clear"/>
            <w:tcMar>
              <w:bottom w:w="28" w:type="dxa"/>
            </w:tcMar>
            <w:vAlign w:val="bottom"/>
          </w:tcPr>
          <w:p>
            <w:pPr>
              <w:pStyle w:val="TableContents"/>
              <w:spacing w:before="0" w:after="0"/>
              <w:jc w:val="right"/>
              <w:rPr/>
            </w:pPr>
            <w:r>
              <w:rPr/>
              <w:t>(0.16</w:t>
            </w:r>
          </w:p>
        </w:tc>
        <w:tc>
          <w:tcPr>
            <w:tcW w:w="98" w:type="dxa"/>
            <w:tcBorders/>
            <w:shd w:fill="auto" w:val="clear"/>
            <w:vAlign w:val="bottom"/>
          </w:tcPr>
          <w:p>
            <w:pPr>
              <w:pStyle w:val="TableContents"/>
              <w:spacing w:before="0" w:after="0"/>
              <w:jc w:val="left"/>
              <w:rPr/>
            </w:pPr>
            <w:r>
              <w:rPr/>
              <w:t>)</w:t>
            </w:r>
          </w:p>
        </w:tc>
        <w:tc>
          <w:tcPr>
            <w:tcW w:w="61"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35" w:type="dxa"/>
            <w:tcBorders>
              <w:bottom w:val="double" w:sz="8" w:space="0" w:color="000000"/>
            </w:tcBorders>
            <w:shd w:fill="auto" w:val="clear"/>
            <w:tcMar>
              <w:bottom w:w="28" w:type="dxa"/>
            </w:tcMar>
            <w:vAlign w:val="bottom"/>
          </w:tcPr>
          <w:p>
            <w:pPr>
              <w:pStyle w:val="TableContents"/>
              <w:spacing w:before="0" w:after="0"/>
              <w:jc w:val="right"/>
              <w:rPr/>
            </w:pPr>
            <w:r>
              <w:rPr/>
              <w:t>(0.08</w:t>
            </w:r>
          </w:p>
        </w:tc>
        <w:tc>
          <w:tcPr>
            <w:tcW w:w="110" w:type="dxa"/>
            <w:tcBorders/>
            <w:shd w:fill="auto" w:val="clear"/>
            <w:vAlign w:val="bottom"/>
          </w:tcPr>
          <w:p>
            <w:pPr>
              <w:pStyle w:val="TableContents"/>
              <w:spacing w:before="0" w:after="0"/>
              <w:ind w:left="180" w:right="0" w:hanging="180"/>
              <w:jc w:val="left"/>
              <w:rPr/>
            </w:pPr>
            <w:r>
              <w:rPr/>
              <w:t>)</w:t>
            </w:r>
          </w:p>
        </w:tc>
      </w:tr>
      <w:tr>
        <w:trPr/>
        <w:tc>
          <w:tcPr>
            <w:tcW w:w="6950" w:type="dxa"/>
            <w:tcBorders/>
            <w:shd w:fill="CCEEFF" w:val="clear"/>
            <w:vAlign w:val="bottom"/>
          </w:tcPr>
          <w:p>
            <w:pPr>
              <w:pStyle w:val="TableContents"/>
              <w:spacing w:before="0" w:after="0"/>
              <w:ind w:left="360" w:right="0" w:hanging="180"/>
              <w:rPr/>
            </w:pPr>
            <w:r>
              <w:rPr/>
              <w:t>Weighted average shares of common stock outstanding, basic and diluted</w:t>
            </w:r>
          </w:p>
        </w:tc>
        <w:tc>
          <w:tcPr>
            <w:tcW w:w="60"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double" w:sz="8" w:space="0" w:color="000000"/>
            </w:tcBorders>
            <w:shd w:fill="CCEEFF" w:val="clear"/>
            <w:tcMar>
              <w:bottom w:w="28" w:type="dxa"/>
            </w:tcMar>
            <w:vAlign w:val="bottom"/>
          </w:tcPr>
          <w:p>
            <w:pPr>
              <w:pStyle w:val="TableContents"/>
              <w:spacing w:before="0" w:after="0"/>
              <w:jc w:val="right"/>
              <w:rPr/>
            </w:pPr>
            <w:r>
              <w:rPr/>
              <w:t>34,712,246</w:t>
            </w:r>
          </w:p>
        </w:tc>
        <w:tc>
          <w:tcPr>
            <w:tcW w:w="98"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5" w:type="dxa"/>
            <w:tcBorders>
              <w:bottom w:val="double" w:sz="8" w:space="0" w:color="000000"/>
            </w:tcBorders>
            <w:shd w:fill="CCEEFF" w:val="clear"/>
            <w:tcMar>
              <w:bottom w:w="28" w:type="dxa"/>
            </w:tcMar>
            <w:vAlign w:val="bottom"/>
          </w:tcPr>
          <w:p>
            <w:pPr>
              <w:pStyle w:val="TableContents"/>
              <w:spacing w:before="0" w:after="0"/>
              <w:jc w:val="right"/>
              <w:rPr/>
            </w:pPr>
            <w:r>
              <w:rPr/>
              <w:t>34,050,274</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highlight w:val="white"/>
        </w:rPr>
      </w:pPr>
      <w:r>
        <w:rPr>
          <w:rFonts w:ascii="Times New Roman" w:hAnsi="Times New Roman"/>
          <w:color w:val="000000"/>
          <w:sz w:val="20"/>
          <w:highlight w:val="white"/>
        </w:rPr>
        <w:t>The accompanying notes are an integral part of these consolidated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highlight w:val="white"/>
          </w:rPr>
          <w:t>Table of Contents</w:t>
        </w:r>
      </w:hyperlink>
    </w:p>
    <w:p>
      <w:pPr>
        <w:pStyle w:val="TextBody"/>
        <w:spacing w:before="0" w:after="0"/>
        <w:ind w:left="0" w:right="0" w:hanging="0"/>
        <w:jc w:val="center"/>
        <w:rPr>
          <w:rFonts w:ascii="Times New Roman" w:hAnsi="Times New Roman"/>
          <w:color w:val="000000"/>
          <w:sz w:val="20"/>
          <w:highlight w:val="white"/>
        </w:rPr>
      </w:pPr>
      <w:r>
        <w:rPr>
          <w:rFonts w:ascii="Times New Roman" w:hAnsi="Times New Roman"/>
          <w:b/>
          <w:i w:val="false"/>
          <w:caps w:val="false"/>
          <w:smallCaps w:val="false"/>
          <w:color w:val="000000"/>
          <w:spacing w:val="0"/>
          <w:sz w:val="20"/>
          <w:highlight w:val="white"/>
        </w:rPr>
        <w:t>STRATA</w:t>
      </w:r>
      <w:r>
        <w:rPr>
          <w:rFonts w:ascii="Times New Roman" w:hAnsi="Times New Roman"/>
          <w:color w:val="000000"/>
          <w:sz w:val="20"/>
          <w:highlight w:val="white"/>
        </w:rPr>
        <w:t xml:space="preserve"> </w:t>
      </w:r>
      <w:r>
        <w:rPr>
          <w:rFonts w:ascii="Times New Roman" w:hAnsi="Times New Roman"/>
          <w:b/>
          <w:color w:val="000000"/>
          <w:sz w:val="20"/>
          <w:highlight w:val="white"/>
        </w:rPr>
        <w:t>Skin Sciences, Inc. and Subsidiary</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 xml:space="preserve">Consolidated Statements of Changes in </w:t>
      </w:r>
      <w:bookmarkStart w:id="51" w:name="Stockholders"/>
      <w:bookmarkEnd w:id="51"/>
      <w:r>
        <w:rPr>
          <w:rFonts w:ascii="Times New Roman" w:hAnsi="Times New Roman"/>
          <w:b/>
          <w:color w:val="000000"/>
          <w:sz w:val="20"/>
          <w:highlight w:val="white"/>
        </w:rPr>
        <w:t>Stockholders’ Equity</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(in thousands except share data)</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4728"/>
        <w:gridCol w:w="60"/>
        <w:gridCol w:w="60"/>
        <w:gridCol w:w="950"/>
        <w:gridCol w:w="60"/>
        <w:gridCol w:w="60"/>
        <w:gridCol w:w="196"/>
        <w:gridCol w:w="409"/>
        <w:gridCol w:w="60"/>
        <w:gridCol w:w="60"/>
        <w:gridCol w:w="182"/>
        <w:gridCol w:w="1019"/>
        <w:gridCol w:w="60"/>
        <w:gridCol w:w="60"/>
        <w:gridCol w:w="142"/>
        <w:gridCol w:w="860"/>
        <w:gridCol w:w="80"/>
        <w:gridCol w:w="60"/>
        <w:gridCol w:w="174"/>
        <w:gridCol w:w="826"/>
        <w:gridCol w:w="99"/>
      </w:tblGrid>
      <w:tr>
        <w:trPr/>
        <w:tc>
          <w:tcPr>
            <w:tcW w:w="47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5" w:type="dxa"/>
            <w:gridSpan w:val="6"/>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1" w:type="dxa"/>
            <w:gridSpan w:val="2"/>
            <w:tcBorders/>
            <w:shd w:fill="auto" w:val="clear"/>
            <w:vAlign w:val="bottom"/>
          </w:tcPr>
          <w:p>
            <w:pPr>
              <w:pStyle w:val="TableContents"/>
              <w:spacing w:before="0" w:after="0"/>
              <w:jc w:val="center"/>
              <w:rPr>
                <w:b/>
                <w:sz w:val="16"/>
              </w:rPr>
            </w:pPr>
            <w:r>
              <w:rPr>
                <w:b/>
                <w:sz w:val="16"/>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2"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1" w:type="dxa"/>
            <w:gridSpan w:val="2"/>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 xml:space="preserve">Additional Paid- </w:t>
            </w:r>
          </w:p>
          <w:p>
            <w:pPr>
              <w:pStyle w:val="TableContents"/>
              <w:spacing w:before="0" w:after="0"/>
              <w:jc w:val="center"/>
              <w:rPr>
                <w:b/>
                <w:sz w:val="16"/>
              </w:rPr>
            </w:pPr>
            <w:r>
              <w:rPr>
                <w:b/>
                <w:sz w:val="16"/>
              </w:rPr>
              <w:t>in 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2" w:type="dxa"/>
            <w:gridSpan w:val="2"/>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 xml:space="preserve">Accumulated </w:t>
            </w:r>
          </w:p>
          <w:p>
            <w:pPr>
              <w:pStyle w:val="TableContents"/>
              <w:spacing w:before="0" w:after="0"/>
              <w:jc w:val="center"/>
              <w:rPr>
                <w:b/>
                <w:sz w:val="16"/>
              </w:rPr>
            </w:pPr>
            <w:r>
              <w:rPr>
                <w:b/>
                <w:sz w:val="16"/>
              </w:rPr>
              <w:t xml:space="preserve">Deficit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00" w:type="dxa"/>
            <w:gridSpan w:val="2"/>
            <w:tcBorders>
              <w:bottom w:val="single" w:sz="12" w:space="0" w:color="000000"/>
            </w:tcBorders>
            <w:shd w:fill="auto" w:val="clear"/>
            <w:tcMar>
              <w:bottom w:w="28" w:type="dxa"/>
            </w:tcMar>
            <w:vAlign w:val="bottom"/>
          </w:tcPr>
          <w:p>
            <w:pPr>
              <w:pStyle w:val="TableContents"/>
              <w:spacing w:before="0" w:after="0"/>
              <w:jc w:val="center"/>
              <w:rPr>
                <w:b/>
                <w:sz w:val="16"/>
              </w:rPr>
            </w:pPr>
            <w:r>
              <w:rPr>
                <w:b/>
                <w:sz w:val="16"/>
              </w:rPr>
              <w:t>Total</w:t>
            </w:r>
          </w:p>
          <w:p>
            <w:pPr>
              <w:pStyle w:val="TableContents"/>
              <w:spacing w:before="0" w:after="0"/>
              <w:jc w:val="center"/>
              <w:rPr>
                <w:b/>
                <w:sz w:val="16"/>
              </w:rPr>
            </w:pPr>
            <w:r>
              <w:rPr>
                <w:b/>
                <w:sz w:val="16"/>
              </w:rPr>
              <w:t>Stockholders’</w:t>
            </w:r>
          </w:p>
          <w:p>
            <w:pPr>
              <w:pStyle w:val="TableContents"/>
              <w:spacing w:before="0" w:after="0"/>
              <w:jc w:val="center"/>
              <w:rPr>
                <w:b/>
                <w:sz w:val="16"/>
              </w:rPr>
            </w:pPr>
            <w:r>
              <w:rPr>
                <w:b/>
                <w:sz w:val="16"/>
              </w:rPr>
              <w:t>Equity</w:t>
            </w:r>
          </w:p>
        </w:tc>
        <w:tc>
          <w:tcPr>
            <w:tcW w:w="99" w:type="dxa"/>
            <w:tcBorders/>
            <w:shd w:fill="auto" w:val="clear"/>
            <w:vAlign w:val="bottom"/>
          </w:tcPr>
          <w:p>
            <w:pPr>
              <w:pStyle w:val="TableContents"/>
              <w:spacing w:before="0" w:after="283"/>
              <w:jc w:val="left"/>
              <w:rPr/>
            </w:pPr>
            <w:r>
              <w:rPr/>
              <w:t> </w:t>
            </w:r>
          </w:p>
        </w:tc>
      </w:tr>
      <w:tr>
        <w:trPr/>
        <w:tc>
          <w:tcPr>
            <w:tcW w:w="4728" w:type="dxa"/>
            <w:tcBorders/>
            <w:shd w:fill="CCEEFF" w:val="clear"/>
            <w:vAlign w:val="bottom"/>
          </w:tcPr>
          <w:p>
            <w:pPr>
              <w:pStyle w:val="TableContents"/>
              <w:spacing w:before="0" w:after="0"/>
              <w:ind w:left="180" w:right="0" w:hanging="180"/>
              <w:rPr>
                <w:sz w:val="16"/>
              </w:rPr>
            </w:pPr>
            <w:r>
              <w:rPr>
                <w:sz w:val="16"/>
              </w:rPr>
              <w:t>Balance at January 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sz w:val="20"/>
              </w:rPr>
            </w:pPr>
            <w:r>
              <w:rPr>
                <w:sz w:val="20"/>
              </w:rPr>
              <w:t>33,801,045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0"/>
              <w:jc w:val="left"/>
              <w:rPr>
                <w:sz w:val="20"/>
              </w:rPr>
            </w:pPr>
            <w:r>
              <w:rPr>
                <w:sz w:val="20"/>
              </w:rPr>
              <w:t>$</w:t>
            </w:r>
          </w:p>
        </w:tc>
        <w:tc>
          <w:tcPr>
            <w:tcW w:w="409" w:type="dxa"/>
            <w:tcBorders/>
            <w:shd w:fill="CCEEFF" w:val="clear"/>
            <w:vAlign w:val="bottom"/>
          </w:tcPr>
          <w:p>
            <w:pPr>
              <w:pStyle w:val="TableContents"/>
              <w:spacing w:before="0" w:after="0"/>
              <w:jc w:val="right"/>
              <w:rPr>
                <w:sz w:val="20"/>
              </w:rPr>
            </w:pPr>
            <w:r>
              <w:rPr>
                <w:sz w:val="20"/>
              </w:rPr>
              <w:t>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sz w:val="20"/>
              </w:rPr>
            </w:pPr>
            <w:r>
              <w:rPr>
                <w:sz w:val="20"/>
              </w:rPr>
              <w:t>$</w:t>
            </w:r>
          </w:p>
        </w:tc>
        <w:tc>
          <w:tcPr>
            <w:tcW w:w="1019" w:type="dxa"/>
            <w:tcBorders/>
            <w:shd w:fill="CCEEFF" w:val="clear"/>
            <w:vAlign w:val="bottom"/>
          </w:tcPr>
          <w:p>
            <w:pPr>
              <w:pStyle w:val="TableContents"/>
              <w:spacing w:before="0" w:after="0"/>
              <w:jc w:val="right"/>
              <w:rPr>
                <w:sz w:val="20"/>
              </w:rPr>
            </w:pPr>
            <w:r>
              <w:rPr>
                <w:sz w:val="20"/>
              </w:rPr>
              <w:t>244,831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0"/>
              <w:jc w:val="left"/>
              <w:rPr>
                <w:sz w:val="20"/>
              </w:rPr>
            </w:pPr>
            <w:r>
              <w:rPr>
                <w:sz w:val="20"/>
              </w:rPr>
              <w:t>$</w:t>
            </w:r>
          </w:p>
        </w:tc>
        <w:tc>
          <w:tcPr>
            <w:tcW w:w="860" w:type="dxa"/>
            <w:tcBorders/>
            <w:shd w:fill="CCEEFF" w:val="clear"/>
            <w:vAlign w:val="bottom"/>
          </w:tcPr>
          <w:p>
            <w:pPr>
              <w:pStyle w:val="TableContents"/>
              <w:spacing w:before="0" w:after="0"/>
              <w:jc w:val="right"/>
              <w:rPr>
                <w:sz w:val="20"/>
              </w:rPr>
            </w:pPr>
            <w:r>
              <w:rPr>
                <w:sz w:val="20"/>
              </w:rPr>
              <w:t>(218,973</w:t>
            </w:r>
          </w:p>
        </w:tc>
        <w:tc>
          <w:tcPr>
            <w:tcW w:w="80" w:type="dxa"/>
            <w:tcBorders/>
            <w:shd w:fill="CCEEFF" w:val="clear"/>
            <w:vAlign w:val="bottom"/>
          </w:tcPr>
          <w:p>
            <w:pPr>
              <w:pStyle w:val="TableContents"/>
              <w:spacing w:before="0" w:after="0"/>
              <w:jc w:val="left"/>
              <w:rPr>
                <w:sz w:val="20"/>
              </w:rPr>
            </w:pPr>
            <w:r>
              <w:rPr>
                <w:sz w:val="20"/>
              </w:rPr>
              <w:t>)</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0"/>
              <w:jc w:val="left"/>
              <w:rPr>
                <w:sz w:val="20"/>
              </w:rPr>
            </w:pPr>
            <w:r>
              <w:rPr>
                <w:sz w:val="20"/>
              </w:rPr>
              <w:t>$</w:t>
            </w:r>
          </w:p>
        </w:tc>
        <w:tc>
          <w:tcPr>
            <w:tcW w:w="826" w:type="dxa"/>
            <w:tcBorders/>
            <w:shd w:fill="CCEEFF" w:val="clear"/>
            <w:vAlign w:val="bottom"/>
          </w:tcPr>
          <w:p>
            <w:pPr>
              <w:pStyle w:val="TableContents"/>
              <w:spacing w:before="0" w:after="0"/>
              <w:jc w:val="right"/>
              <w:rPr>
                <w:sz w:val="20"/>
              </w:rPr>
            </w:pPr>
            <w:r>
              <w:rPr>
                <w:sz w:val="20"/>
              </w:rPr>
              <w:t>25,892</w:t>
            </w:r>
          </w:p>
        </w:tc>
        <w:tc>
          <w:tcPr>
            <w:tcW w:w="99" w:type="dxa"/>
            <w:tcBorders/>
            <w:shd w:fill="CCEEFF"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0"/>
              <w:ind w:left="180" w:right="0" w:hanging="180"/>
              <w:rPr>
                <w:sz w:val="16"/>
              </w:rPr>
            </w:pPr>
            <w:r>
              <w:rPr>
                <w:sz w:val="16"/>
              </w:rPr>
              <w:t>Stock-based compensation expense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jc w:val="left"/>
              <w:rPr/>
            </w:pPr>
            <w:r>
              <w:rPr/>
              <w:t> </w:t>
            </w:r>
          </w:p>
        </w:tc>
        <w:tc>
          <w:tcPr>
            <w:tcW w:w="40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0"/>
              <w:jc w:val="right"/>
              <w:rPr>
                <w:sz w:val="20"/>
              </w:rPr>
            </w:pPr>
            <w:r>
              <w:rPr>
                <w:sz w:val="20"/>
              </w:rPr>
              <w:t>1,643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sz w:val="20"/>
              </w:rPr>
            </w:pPr>
            <w:r>
              <w:rPr>
                <w:sz w:val="20"/>
              </w:rPr>
              <w:t>1,643</w:t>
            </w:r>
          </w:p>
        </w:tc>
        <w:tc>
          <w:tcPr>
            <w:tcW w:w="99" w:type="dxa"/>
            <w:tcBorders/>
            <w:shd w:fill="auto" w:val="clear"/>
            <w:vAlign w:val="bottom"/>
          </w:tcPr>
          <w:p>
            <w:pPr>
              <w:pStyle w:val="TableContents"/>
              <w:spacing w:before="0" w:after="283"/>
              <w:jc w:val="left"/>
              <w:rPr/>
            </w:pPr>
            <w:r>
              <w:rPr/>
              <w:t> </w:t>
            </w:r>
          </w:p>
        </w:tc>
      </w:tr>
      <w:tr>
        <w:trPr/>
        <w:tc>
          <w:tcPr>
            <w:tcW w:w="4728" w:type="dxa"/>
            <w:tcBorders/>
            <w:shd w:fill="CCEEFF" w:val="clear"/>
            <w:vAlign w:val="bottom"/>
          </w:tcPr>
          <w:p>
            <w:pPr>
              <w:pStyle w:val="TableContents"/>
              <w:spacing w:before="0" w:after="0"/>
              <w:ind w:left="180" w:right="0" w:hanging="180"/>
              <w:rPr>
                <w:sz w:val="16"/>
              </w:rPr>
            </w:pPr>
            <w:r>
              <w:rPr>
                <w:sz w:val="16"/>
              </w:rPr>
              <w:t>Exercise of stock options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sz w:val="20"/>
              </w:rPr>
            </w:pPr>
            <w:r>
              <w:rPr>
                <w:sz w:val="20"/>
              </w:rPr>
              <w:t>329,076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40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pPr>
            <w:r>
              <w:rPr/>
              <w:t>—</w:t>
            </w:r>
          </w:p>
        </w:tc>
        <w:tc>
          <w:tcPr>
            <w:tcW w:w="99" w:type="dxa"/>
            <w:tcBorders/>
            <w:shd w:fill="CCEEFF"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0"/>
              <w:ind w:left="180" w:right="0" w:hanging="180"/>
              <w:rPr>
                <w:sz w:val="16"/>
              </w:rPr>
            </w:pPr>
            <w:r>
              <w:rPr>
                <w:sz w:val="16"/>
              </w:rPr>
              <w:t>Issuance of restricted stock</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sz w:val="20"/>
              </w:rPr>
            </w:pPr>
            <w:r>
              <w:rPr>
                <w:sz w:val="20"/>
              </w:rPr>
              <w:t>234,558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jc w:val="left"/>
              <w:rPr/>
            </w:pPr>
            <w:r>
              <w:rPr/>
              <w:t> </w:t>
            </w:r>
          </w:p>
        </w:tc>
        <w:tc>
          <w:tcPr>
            <w:tcW w:w="40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pPr>
            <w:r>
              <w:rPr/>
              <w:t>—</w:t>
            </w:r>
          </w:p>
        </w:tc>
        <w:tc>
          <w:tcPr>
            <w:tcW w:w="99" w:type="dxa"/>
            <w:tcBorders/>
            <w:shd w:fill="auto" w:val="clear"/>
            <w:vAlign w:val="bottom"/>
          </w:tcPr>
          <w:p>
            <w:pPr>
              <w:pStyle w:val="TableContents"/>
              <w:spacing w:before="0" w:after="283"/>
              <w:jc w:val="left"/>
              <w:rPr/>
            </w:pPr>
            <w:r>
              <w:rPr/>
              <w:t> </w:t>
            </w:r>
          </w:p>
        </w:tc>
      </w:tr>
      <w:tr>
        <w:trPr/>
        <w:tc>
          <w:tcPr>
            <w:tcW w:w="4728" w:type="dxa"/>
            <w:tcBorders/>
            <w:shd w:fill="CCEEFF" w:val="clear"/>
            <w:vAlign w:val="bottom"/>
          </w:tcPr>
          <w:p>
            <w:pPr>
              <w:pStyle w:val="TableContents"/>
              <w:spacing w:before="0" w:after="283"/>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 xml:space="preserve">Issuance of common stock warrants in connection with Senior Term Facility </w:t>
            </w:r>
          </w:p>
        </w:tc>
        <w:tc>
          <w:tcPr>
            <w:tcW w:w="6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950" w:type="dxa"/>
            <w:tcBorders/>
            <w:shd w:fill="CCEEFF" w:val="clear"/>
            <w:vAlign w:val="bottom"/>
          </w:tcPr>
          <w:p>
            <w:pPr>
              <w:pStyle w:val="TableContents"/>
              <w:spacing w:before="0" w:after="283"/>
              <w:jc w:val="right"/>
              <w:rPr>
                <w:caps w:val="false"/>
                <w:smallCaps w:val="false"/>
                <w:color w:val="000000"/>
              </w:rPr>
            </w:pPr>
            <w:r>
              <w:rPr>
                <w:caps w:val="false"/>
                <w:smallCaps w:val="false"/>
                <w:color w:val="000000"/>
              </w:rPr>
              <w:t>—</w:t>
            </w:r>
          </w:p>
        </w:tc>
        <w:tc>
          <w:tcPr>
            <w:tcW w:w="60" w:type="dxa"/>
            <w:tcBorders/>
            <w:shd w:fill="CCEEFF"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40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283"/>
              <w:jc w:val="right"/>
              <w:rPr/>
            </w:pPr>
            <w:r>
              <w:rPr/>
              <w:t>585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585</w:t>
            </w:r>
          </w:p>
        </w:tc>
        <w:tc>
          <w:tcPr>
            <w:tcW w:w="99" w:type="dxa"/>
            <w:tcBorders/>
            <w:shd w:fill="CCEEFF"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0"/>
              <w:ind w:left="180" w:right="0" w:hanging="180"/>
              <w:rPr>
                <w:sz w:val="16"/>
              </w:rPr>
            </w:pPr>
            <w:r>
              <w:rPr>
                <w:sz w:val="16"/>
              </w:rPr>
              <w:t>Net loss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0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0" w:type="dxa"/>
            <w:tcBorders>
              <w:bottom w:val="single" w:sz="12" w:space="0" w:color="000000"/>
            </w:tcBorders>
            <w:shd w:fill="auto" w:val="clear"/>
            <w:tcMar>
              <w:bottom w:w="28" w:type="dxa"/>
            </w:tcMar>
            <w:vAlign w:val="bottom"/>
          </w:tcPr>
          <w:p>
            <w:pPr>
              <w:pStyle w:val="TableContents"/>
              <w:spacing w:before="0" w:after="0"/>
              <w:jc w:val="right"/>
              <w:rPr>
                <w:sz w:val="20"/>
              </w:rPr>
            </w:pPr>
            <w:r>
              <w:rPr>
                <w:sz w:val="20"/>
              </w:rPr>
              <w:t>(2,706</w:t>
            </w:r>
          </w:p>
        </w:tc>
        <w:tc>
          <w:tcPr>
            <w:tcW w:w="80" w:type="dxa"/>
            <w:tcBorders/>
            <w:shd w:fill="auto" w:val="clear"/>
            <w:vAlign w:val="bottom"/>
          </w:tcPr>
          <w:p>
            <w:pPr>
              <w:pStyle w:val="TableContents"/>
              <w:spacing w:before="0" w:after="0"/>
              <w:jc w:val="left"/>
              <w:rPr>
                <w:sz w:val="20"/>
              </w:rPr>
            </w:pPr>
            <w:r>
              <w:rPr>
                <w:sz w:val="20"/>
              </w:rPr>
              <w:t>)</w:t>
            </w:r>
          </w:p>
        </w:tc>
        <w:tc>
          <w:tcPr>
            <w:tcW w:w="60" w:type="dxa"/>
            <w:tcBorders/>
            <w:shd w:fill="auto" w:val="clear"/>
            <w:vAlign w:val="bottom"/>
          </w:tcPr>
          <w:p>
            <w:pPr>
              <w:pStyle w:val="TableContents"/>
              <w:spacing w:before="0" w:after="283"/>
              <w:jc w:val="right"/>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auto" w:val="clear"/>
            <w:tcMar>
              <w:bottom w:w="28" w:type="dxa"/>
            </w:tcMar>
            <w:vAlign w:val="bottom"/>
          </w:tcPr>
          <w:p>
            <w:pPr>
              <w:pStyle w:val="TableContents"/>
              <w:spacing w:before="0" w:after="0"/>
              <w:jc w:val="right"/>
              <w:rPr>
                <w:sz w:val="20"/>
              </w:rPr>
            </w:pPr>
            <w:r>
              <w:rPr>
                <w:sz w:val="20"/>
              </w:rPr>
              <w:t>(2,706</w:t>
            </w:r>
          </w:p>
        </w:tc>
        <w:tc>
          <w:tcPr>
            <w:tcW w:w="99" w:type="dxa"/>
            <w:tcBorders/>
            <w:shd w:fill="auto" w:val="clear"/>
            <w:vAlign w:val="bottom"/>
          </w:tcPr>
          <w:p>
            <w:pPr>
              <w:pStyle w:val="TableContents"/>
              <w:spacing w:before="0" w:after="0"/>
              <w:jc w:val="left"/>
              <w:rPr>
                <w:sz w:val="20"/>
              </w:rPr>
            </w:pPr>
            <w:r>
              <w:rPr>
                <w:sz w:val="20"/>
              </w:rPr>
              <w:t>)</w:t>
            </w:r>
          </w:p>
        </w:tc>
      </w:tr>
      <w:tr>
        <w:trPr/>
        <w:tc>
          <w:tcPr>
            <w:tcW w:w="4728" w:type="dxa"/>
            <w:tcBorders/>
            <w:shd w:fill="CCEEFF" w:val="clear"/>
            <w:vAlign w:val="bottom"/>
          </w:tcPr>
          <w:p>
            <w:pPr>
              <w:pStyle w:val="TableContents"/>
              <w:spacing w:before="0" w:after="0"/>
              <w:ind w:left="180" w:right="0" w:hanging="180"/>
              <w:rPr>
                <w:sz w:val="16"/>
              </w:rPr>
            </w:pPr>
            <w:r>
              <w:rPr>
                <w:sz w:val="16"/>
              </w:rPr>
              <w:t>Balance at December 31,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sz w:val="20"/>
              </w:rPr>
            </w:pPr>
            <w:r>
              <w:rPr>
                <w:sz w:val="20"/>
              </w:rPr>
              <w:t>34,364,679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409" w:type="dxa"/>
            <w:tcBorders/>
            <w:shd w:fill="CCEEFF" w:val="clear"/>
            <w:vAlign w:val="bottom"/>
          </w:tcPr>
          <w:p>
            <w:pPr>
              <w:pStyle w:val="TableContents"/>
              <w:spacing w:before="0" w:after="0"/>
              <w:jc w:val="right"/>
              <w:rPr>
                <w:sz w:val="20"/>
              </w:rPr>
            </w:pPr>
            <w:r>
              <w:rPr>
                <w:sz w:val="20"/>
              </w:rPr>
              <w:t>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sz w:val="20"/>
              </w:rPr>
            </w:pPr>
            <w:r>
              <w:rPr>
                <w:sz w:val="20"/>
              </w:rPr>
              <w:t>247,059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0"/>
              <w:jc w:val="right"/>
              <w:rPr>
                <w:sz w:val="20"/>
              </w:rPr>
            </w:pPr>
            <w:r>
              <w:rPr>
                <w:sz w:val="20"/>
              </w:rPr>
              <w:t>(221,679</w:t>
            </w:r>
          </w:p>
        </w:tc>
        <w:tc>
          <w:tcPr>
            <w:tcW w:w="80" w:type="dxa"/>
            <w:tcBorders/>
            <w:shd w:fill="CCEEFF" w:val="clear"/>
            <w:vAlign w:val="bottom"/>
          </w:tcPr>
          <w:p>
            <w:pPr>
              <w:pStyle w:val="TableContents"/>
              <w:spacing w:before="0" w:after="0"/>
              <w:jc w:val="left"/>
              <w:rPr>
                <w:sz w:val="20"/>
              </w:rPr>
            </w:pPr>
            <w:r>
              <w:rPr>
                <w:sz w:val="20"/>
              </w:rPr>
              <w:t>)</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sz w:val="20"/>
              </w:rPr>
            </w:pPr>
            <w:r>
              <w:rPr>
                <w:sz w:val="20"/>
              </w:rPr>
              <w:t>25,414</w:t>
            </w:r>
          </w:p>
        </w:tc>
        <w:tc>
          <w:tcPr>
            <w:tcW w:w="99" w:type="dxa"/>
            <w:tcBorders/>
            <w:shd w:fill="CCEEFF"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0"/>
              <w:ind w:left="180" w:right="0" w:hanging="180"/>
              <w:rPr>
                <w:sz w:val="16"/>
              </w:rPr>
            </w:pPr>
            <w:r>
              <w:rPr>
                <w:sz w:val="16"/>
              </w:rPr>
              <w:t>Stock-based compensation expense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6" w:type="dxa"/>
            <w:tcBorders/>
            <w:shd w:fill="auto" w:val="clear"/>
            <w:vAlign w:val="bottom"/>
          </w:tcPr>
          <w:p>
            <w:pPr>
              <w:pStyle w:val="TableContents"/>
              <w:spacing w:before="0" w:after="283"/>
              <w:jc w:val="left"/>
              <w:rPr/>
            </w:pPr>
            <w:r>
              <w:rPr/>
              <w:t> </w:t>
            </w:r>
          </w:p>
        </w:tc>
        <w:tc>
          <w:tcPr>
            <w:tcW w:w="40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0"/>
              <w:jc w:val="right"/>
              <w:rPr>
                <w:sz w:val="20"/>
              </w:rPr>
            </w:pPr>
            <w:r>
              <w:rPr>
                <w:sz w:val="20"/>
              </w:rPr>
              <w:t>1,466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c>
          <w:tcPr>
            <w:tcW w:w="860" w:type="dxa"/>
            <w:tcBorders/>
            <w:shd w:fill="auto" w:val="cle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0"/>
              <w:jc w:val="right"/>
              <w:rPr>
                <w:sz w:val="20"/>
              </w:rPr>
            </w:pPr>
            <w:r>
              <w:rPr>
                <w:sz w:val="20"/>
              </w:rPr>
              <w:t>1,466</w:t>
            </w:r>
          </w:p>
        </w:tc>
        <w:tc>
          <w:tcPr>
            <w:tcW w:w="99" w:type="dxa"/>
            <w:tcBorders/>
            <w:shd w:fill="auto" w:val="clear"/>
            <w:vAlign w:val="bottom"/>
          </w:tcPr>
          <w:p>
            <w:pPr>
              <w:pStyle w:val="TableContents"/>
              <w:spacing w:before="0" w:after="283"/>
              <w:jc w:val="left"/>
              <w:rPr/>
            </w:pPr>
            <w:r>
              <w:rPr/>
              <w:t> </w:t>
            </w:r>
          </w:p>
        </w:tc>
      </w:tr>
      <w:tr>
        <w:trPr/>
        <w:tc>
          <w:tcPr>
            <w:tcW w:w="4728" w:type="dxa"/>
            <w:tcBorders/>
            <w:shd w:fill="CCEEFF" w:val="clear"/>
            <w:vAlign w:val="bottom"/>
          </w:tcPr>
          <w:p>
            <w:pPr>
              <w:pStyle w:val="TableContents"/>
              <w:spacing w:before="0" w:after="0"/>
              <w:ind w:left="180" w:right="0" w:hanging="180"/>
              <w:rPr>
                <w:sz w:val="16"/>
              </w:rPr>
            </w:pPr>
            <w:r>
              <w:rPr>
                <w:sz w:val="16"/>
              </w:rPr>
              <w:t>Issuance of common stock for acquisition</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sz w:val="20"/>
              </w:rPr>
            </w:pPr>
            <w:r>
              <w:rPr>
                <w:sz w:val="20"/>
              </w:rPr>
              <w:t>358,367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6" w:type="dxa"/>
            <w:tcBorders/>
            <w:shd w:fill="CCEEFF" w:val="clear"/>
            <w:vAlign w:val="bottom"/>
          </w:tcPr>
          <w:p>
            <w:pPr>
              <w:pStyle w:val="TableContents"/>
              <w:spacing w:before="0" w:after="283"/>
              <w:jc w:val="left"/>
              <w:rPr/>
            </w:pPr>
            <w:r>
              <w:rPr/>
              <w:t> </w:t>
            </w:r>
          </w:p>
        </w:tc>
        <w:tc>
          <w:tcPr>
            <w:tcW w:w="409" w:type="dxa"/>
            <w:tcBorders/>
            <w:shd w:fill="CCEEFF" w:val="clear"/>
            <w:vAlign w:val="bottom"/>
          </w:tcPr>
          <w:p>
            <w:pPr>
              <w:pStyle w:val="TableContents"/>
              <w:spacing w:before="0" w:after="0"/>
              <w:jc w:val="right"/>
              <w:rPr>
                <w:sz w:val="20"/>
              </w:rPr>
            </w:pPr>
            <w:r>
              <w:rPr>
                <w:sz w:val="20"/>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sz w:val="20"/>
              </w:rPr>
            </w:pPr>
            <w:r>
              <w:rPr>
                <w:sz w:val="20"/>
              </w:rPr>
              <w:t>499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0"/>
              <w:jc w:val="right"/>
              <w:rPr>
                <w:sz w:val="20"/>
              </w:rPr>
            </w:pPr>
            <w:r>
              <w:rPr>
                <w:sz w:val="20"/>
              </w:rPr>
              <w:t>500</w:t>
            </w:r>
          </w:p>
        </w:tc>
        <w:tc>
          <w:tcPr>
            <w:tcW w:w="99" w:type="dxa"/>
            <w:tcBorders/>
            <w:shd w:fill="CCEEFF" w:val="clear"/>
            <w:vAlign w:val="bottom"/>
          </w:tcPr>
          <w:p>
            <w:pPr>
              <w:pStyle w:val="TableContents"/>
              <w:spacing w:before="0" w:after="283"/>
              <w:jc w:val="left"/>
              <w:rPr/>
            </w:pPr>
            <w:r>
              <w:rPr/>
              <w:t> </w:t>
            </w:r>
          </w:p>
        </w:tc>
      </w:tr>
      <w:tr>
        <w:trPr/>
        <w:tc>
          <w:tcPr>
            <w:tcW w:w="4728" w:type="dxa"/>
            <w:tcBorders/>
            <w:shd w:fill="auto" w:val="clear"/>
            <w:vAlign w:val="bottom"/>
          </w:tcPr>
          <w:p>
            <w:pPr>
              <w:pStyle w:val="TableContents"/>
              <w:spacing w:before="0" w:after="0"/>
              <w:ind w:left="180" w:right="0" w:hanging="180"/>
              <w:rPr>
                <w:sz w:val="16"/>
              </w:rPr>
            </w:pPr>
            <w:r>
              <w:rPr>
                <w:sz w:val="16"/>
              </w:rPr>
              <w:t>Net loss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0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1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0" w:type="dxa"/>
            <w:tcBorders>
              <w:bottom w:val="single" w:sz="12" w:space="0" w:color="000000"/>
            </w:tcBorders>
            <w:shd w:fill="auto" w:val="clear"/>
            <w:tcMar>
              <w:bottom w:w="28" w:type="dxa"/>
            </w:tcMar>
            <w:vAlign w:val="bottom"/>
          </w:tcPr>
          <w:p>
            <w:pPr>
              <w:pStyle w:val="TableContents"/>
              <w:spacing w:before="0" w:after="0"/>
              <w:jc w:val="right"/>
              <w:rPr>
                <w:sz w:val="20"/>
              </w:rPr>
            </w:pPr>
            <w:r>
              <w:rPr>
                <w:sz w:val="20"/>
              </w:rPr>
              <w:t>(5,549</w:t>
            </w:r>
          </w:p>
        </w:tc>
        <w:tc>
          <w:tcPr>
            <w:tcW w:w="80" w:type="dxa"/>
            <w:tcBorders/>
            <w:shd w:fill="auto" w:val="clear"/>
            <w:vAlign w:val="bottom"/>
          </w:tcPr>
          <w:p>
            <w:pPr>
              <w:pStyle w:val="TableContents"/>
              <w:spacing w:before="0" w:after="0"/>
              <w:jc w:val="left"/>
              <w:rPr>
                <w:sz w:val="20"/>
              </w:rPr>
            </w:pPr>
            <w:r>
              <w:rPr>
                <w:sz w:val="20"/>
              </w:rPr>
              <w:t>)</w:t>
            </w:r>
          </w:p>
        </w:tc>
        <w:tc>
          <w:tcPr>
            <w:tcW w:w="60" w:type="dxa"/>
            <w:tcBorders/>
            <w:shd w:fill="auto" w:val="clear"/>
            <w:vAlign w:val="bottom"/>
          </w:tcPr>
          <w:p>
            <w:pPr>
              <w:pStyle w:val="TableContents"/>
              <w:spacing w:before="0" w:after="283"/>
              <w:jc w:val="right"/>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26" w:type="dxa"/>
            <w:tcBorders>
              <w:bottom w:val="single" w:sz="12" w:space="0" w:color="000000"/>
            </w:tcBorders>
            <w:shd w:fill="auto" w:val="clear"/>
            <w:tcMar>
              <w:bottom w:w="28" w:type="dxa"/>
            </w:tcMar>
            <w:vAlign w:val="bottom"/>
          </w:tcPr>
          <w:p>
            <w:pPr>
              <w:pStyle w:val="TableContents"/>
              <w:spacing w:before="0" w:after="0"/>
              <w:jc w:val="right"/>
              <w:rPr>
                <w:sz w:val="20"/>
              </w:rPr>
            </w:pPr>
            <w:r>
              <w:rPr>
                <w:sz w:val="20"/>
              </w:rPr>
              <w:t>(5,549</w:t>
            </w:r>
          </w:p>
        </w:tc>
        <w:tc>
          <w:tcPr>
            <w:tcW w:w="99" w:type="dxa"/>
            <w:tcBorders/>
            <w:shd w:fill="auto" w:val="clear"/>
            <w:vAlign w:val="bottom"/>
          </w:tcPr>
          <w:p>
            <w:pPr>
              <w:pStyle w:val="TableContents"/>
              <w:spacing w:before="0" w:after="0"/>
              <w:jc w:val="left"/>
              <w:rPr>
                <w:sz w:val="20"/>
              </w:rPr>
            </w:pPr>
            <w:r>
              <w:rPr>
                <w:sz w:val="20"/>
              </w:rPr>
              <w:t>)</w:t>
            </w:r>
          </w:p>
        </w:tc>
      </w:tr>
      <w:tr>
        <w:trPr/>
        <w:tc>
          <w:tcPr>
            <w:tcW w:w="4728" w:type="dxa"/>
            <w:tcBorders/>
            <w:shd w:fill="CCEEFF" w:val="clear"/>
            <w:vAlign w:val="bottom"/>
          </w:tcPr>
          <w:p>
            <w:pPr>
              <w:pStyle w:val="TableContents"/>
              <w:spacing w:before="0" w:after="0"/>
              <w:ind w:left="180" w:right="0" w:hanging="180"/>
              <w:rPr>
                <w:sz w:val="16"/>
              </w:rPr>
            </w:pPr>
            <w:r>
              <w:rPr>
                <w:sz w:val="16"/>
              </w:rPr>
              <w:t>Balance at December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34,723,046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6"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409"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1019"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249,024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860"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(227,228</w:t>
            </w:r>
          </w:p>
        </w:tc>
        <w:tc>
          <w:tcPr>
            <w:tcW w:w="80" w:type="dxa"/>
            <w:tcBorders/>
            <w:shd w:fill="CCEEFF" w:val="clear"/>
            <w:vAlign w:val="bottom"/>
          </w:tcPr>
          <w:p>
            <w:pPr>
              <w:pStyle w:val="TableContents"/>
              <w:spacing w:before="0" w:after="0"/>
              <w:jc w:val="left"/>
              <w:rPr>
                <w:sz w:val="20"/>
              </w:rPr>
            </w:pPr>
            <w:r>
              <w:rPr>
                <w:sz w:val="20"/>
              </w:rPr>
              <w:t>)</w:t>
            </w:r>
          </w:p>
        </w:tc>
        <w:tc>
          <w:tcPr>
            <w:tcW w:w="60" w:type="dxa"/>
            <w:tcBorders/>
            <w:shd w:fill="CCEEFF" w:val="clear"/>
            <w:vAlign w:val="bottom"/>
          </w:tcPr>
          <w:p>
            <w:pPr>
              <w:pStyle w:val="TableContents"/>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826"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21,831</w:t>
            </w:r>
          </w:p>
        </w:tc>
        <w:tc>
          <w:tcPr>
            <w:tcW w:w="99"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highlight w:val="white"/>
        </w:rPr>
      </w:pPr>
      <w:r>
        <w:rPr>
          <w:rFonts w:ascii="Times New Roman" w:hAnsi="Times New Roman"/>
          <w:color w:val="000000"/>
          <w:sz w:val="20"/>
          <w:highlight w:val="white"/>
        </w:rPr>
        <w:t>The accompanying notes are an integral part of these consolidated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highlight w:val="white"/>
          </w:rPr>
          <w:t>Table of Contents</w:t>
        </w:r>
      </w:hyperlink>
    </w:p>
    <w:p>
      <w:pPr>
        <w:pStyle w:val="TextBody"/>
        <w:spacing w:before="0" w:after="0"/>
        <w:ind w:left="0" w:right="0" w:hanging="0"/>
        <w:jc w:val="center"/>
        <w:rPr>
          <w:rFonts w:ascii="Times New Roman" w:hAnsi="Times New Roman"/>
          <w:color w:val="000000"/>
          <w:sz w:val="20"/>
          <w:highlight w:val="white"/>
        </w:rPr>
      </w:pPr>
      <w:r>
        <w:rPr>
          <w:rFonts w:ascii="Times New Roman" w:hAnsi="Times New Roman"/>
          <w:b/>
          <w:i w:val="false"/>
          <w:caps w:val="false"/>
          <w:smallCaps w:val="false"/>
          <w:color w:val="000000"/>
          <w:spacing w:val="0"/>
          <w:sz w:val="20"/>
          <w:highlight w:val="white"/>
        </w:rPr>
        <w:t>STRATA</w:t>
      </w:r>
      <w:r>
        <w:rPr>
          <w:rFonts w:ascii="Times New Roman" w:hAnsi="Times New Roman"/>
          <w:color w:val="000000"/>
          <w:sz w:val="20"/>
          <w:highlight w:val="white"/>
        </w:rPr>
        <w:t xml:space="preserve"> </w:t>
      </w:r>
      <w:r>
        <w:rPr>
          <w:rFonts w:ascii="Times New Roman" w:hAnsi="Times New Roman"/>
          <w:b/>
          <w:color w:val="000000"/>
          <w:sz w:val="20"/>
          <w:highlight w:val="white"/>
        </w:rPr>
        <w:t>Skin Sciences, Inc. and Subsidiary</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 xml:space="preserve">Consolidated Statements of </w:t>
      </w:r>
      <w:bookmarkStart w:id="52" w:name="Cash"/>
      <w:bookmarkEnd w:id="52"/>
      <w:r>
        <w:rPr>
          <w:rFonts w:ascii="Times New Roman" w:hAnsi="Times New Roman"/>
          <w:b/>
          <w:color w:val="000000"/>
          <w:sz w:val="20"/>
          <w:highlight w:val="white"/>
        </w:rPr>
        <w:t>Cash Flows</w:t>
      </w:r>
    </w:p>
    <w:p>
      <w:pPr>
        <w:pStyle w:val="TextBody"/>
        <w:spacing w:before="0" w:after="0"/>
        <w:jc w:val="center"/>
        <w:rPr>
          <w:rFonts w:ascii="Times New Roman" w:hAnsi="Times New Roman"/>
          <w:b/>
          <w:color w:val="000000"/>
          <w:sz w:val="20"/>
          <w:highlight w:val="white"/>
        </w:rPr>
      </w:pPr>
      <w:r>
        <w:rPr>
          <w:rFonts w:ascii="Times New Roman" w:hAnsi="Times New Roman"/>
          <w:b/>
          <w:color w:val="000000"/>
          <w:sz w:val="20"/>
          <w:highlight w:val="white"/>
        </w:rPr>
        <w:t>(in thousands)</w:t>
      </w:r>
    </w:p>
    <w:p>
      <w:pPr>
        <w:pStyle w:val="TextBody"/>
        <w:spacing w:before="0" w:after="0"/>
        <w:jc w:val="left"/>
        <w:rPr>
          <w:rFonts w:ascii="Times New Roman" w:hAnsi="Times New Roman"/>
          <w:sz w:val="20"/>
        </w:rPr>
      </w:pPr>
      <w:r>
        <w:rPr>
          <w:rFonts w:ascii="Times New Roman" w:hAnsi="Times New Roman"/>
          <w:sz w:val="20"/>
        </w:rPr>
      </w:r>
    </w:p>
    <w:tbl>
      <w:tblPr>
        <w:tblW w:w="10055" w:type="dxa"/>
        <w:jc w:val="left"/>
        <w:tblInd w:w="0" w:type="dxa"/>
        <w:tblCellMar>
          <w:top w:w="0" w:type="dxa"/>
          <w:left w:w="0" w:type="dxa"/>
          <w:bottom w:w="0" w:type="dxa"/>
          <w:right w:w="0" w:type="dxa"/>
        </w:tblCellMar>
      </w:tblPr>
      <w:tblGrid>
        <w:gridCol w:w="8180"/>
        <w:gridCol w:w="60"/>
        <w:gridCol w:w="140"/>
        <w:gridCol w:w="635"/>
        <w:gridCol w:w="95"/>
        <w:gridCol w:w="60"/>
        <w:gridCol w:w="140"/>
        <w:gridCol w:w="635"/>
        <w:gridCol w:w="110"/>
      </w:tblGrid>
      <w:tr>
        <w:trPr/>
        <w:tc>
          <w:tcPr>
            <w:tcW w:w="8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Year Ended </w:t>
            </w:r>
          </w:p>
          <w:p>
            <w:pPr>
              <w:pStyle w:val="TableContents"/>
              <w:spacing w:before="0" w:after="0"/>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80" w:right="0" w:hanging="180"/>
              <w:rPr>
                <w:b/>
              </w:rPr>
            </w:pPr>
            <w:r>
              <w:rPr>
                <w:b/>
              </w:rPr>
              <w:t>Cash flows from operating activities:</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7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80" w:right="0" w:hanging="180"/>
              <w:rPr/>
            </w:pPr>
            <w:r>
              <w:rPr/>
              <w:t>Net loss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35" w:type="dxa"/>
            <w:tcBorders/>
            <w:shd w:fill="CCEEFF" w:val="clear"/>
            <w:vAlign w:val="bottom"/>
          </w:tcPr>
          <w:p>
            <w:pPr>
              <w:pStyle w:val="TableContents"/>
              <w:spacing w:before="0" w:after="0"/>
              <w:jc w:val="right"/>
              <w:rPr/>
            </w:pPr>
            <w:r>
              <w:rPr/>
              <w:t>(5,549</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35" w:type="dxa"/>
            <w:tcBorders/>
            <w:shd w:fill="CCEEFF" w:val="clear"/>
            <w:vAlign w:val="bottom"/>
          </w:tcPr>
          <w:p>
            <w:pPr>
              <w:pStyle w:val="TableContents"/>
              <w:spacing w:before="0" w:after="0"/>
              <w:jc w:val="right"/>
              <w:rPr/>
            </w:pPr>
            <w:r>
              <w:rPr/>
              <w:t>(2,706</w:t>
            </w:r>
          </w:p>
        </w:tc>
        <w:tc>
          <w:tcPr>
            <w:tcW w:w="110" w:type="dxa"/>
            <w:tcBorders/>
            <w:shd w:fill="CCEEFF" w:val="clear"/>
            <w:vAlign w:val="bottom"/>
          </w:tcPr>
          <w:p>
            <w:pPr>
              <w:pStyle w:val="TableContents"/>
              <w:spacing w:before="0" w:after="0"/>
              <w:jc w:val="left"/>
              <w:rPr/>
            </w:pPr>
            <w:r>
              <w:rPr/>
              <w:t>)</w:t>
            </w:r>
          </w:p>
        </w:tc>
      </w:tr>
      <w:tr>
        <w:trPr/>
        <w:tc>
          <w:tcPr>
            <w:tcW w:w="8180" w:type="dxa"/>
            <w:tcBorders/>
            <w:shd w:fill="auto" w:val="clear"/>
            <w:vAlign w:val="bottom"/>
          </w:tcPr>
          <w:p>
            <w:pPr>
              <w:pStyle w:val="TableContents"/>
              <w:spacing w:before="0" w:after="0"/>
              <w:ind w:left="540" w:right="0" w:hanging="540"/>
              <w:rPr/>
            </w:pPr>
            <w:r>
              <w:rPr/>
              <w:t>Adjustments to reconcile net loss to net cash (used in) provided by operating activities: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66" w:right="0" w:hanging="0"/>
              <w:rPr/>
            </w:pPr>
            <w:r>
              <w:rPr/>
              <w:t>Depreciation and amortization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5,293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3,736</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66" w:right="0" w:hanging="0"/>
              <w:rPr/>
            </w:pPr>
            <w:r>
              <w:rPr/>
              <w:t>Amortization of operating lease right-of-use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395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350</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80" w:right="0" w:hanging="0"/>
              <w:rPr/>
            </w:pPr>
            <w:r>
              <w:rPr/>
              <w:t>Amortization of deferred financing costs and debt discount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157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37</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66" w:right="0" w:hanging="0"/>
              <w:rPr/>
            </w:pPr>
            <w:r>
              <w:rPr/>
              <w:t>Provision for doubtful accounts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107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66" w:right="0" w:hanging="0"/>
              <w:rPr/>
            </w:pPr>
            <w:r>
              <w:rPr/>
              <w:t>Stock-based compensation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1,466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1,643</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80" w:right="0" w:hanging="0"/>
              <w:rPr/>
            </w:pPr>
            <w:r>
              <w:rPr/>
              <w:t>Loss on disposal of property and equipment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52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140</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80" w:right="0" w:hanging="0"/>
              <w:rPr/>
            </w:pPr>
            <w:r>
              <w:rPr/>
              <w:t>Gain on forgiveness of debt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(2,029</w:t>
            </w:r>
          </w:p>
        </w:tc>
        <w:tc>
          <w:tcPr>
            <w:tcW w:w="110" w:type="dxa"/>
            <w:tcBorders/>
            <w:shd w:fill="CCEEFF" w:val="clear"/>
            <w:vAlign w:val="bottom"/>
          </w:tcPr>
          <w:p>
            <w:pPr>
              <w:pStyle w:val="TableContents"/>
              <w:spacing w:before="0" w:after="283"/>
              <w:jc w:val="left"/>
              <w:rPr/>
            </w:pPr>
            <w:r>
              <w:rPr/>
              <w:t>)</w:t>
            </w:r>
          </w:p>
        </w:tc>
      </w:tr>
      <w:tr>
        <w:trPr/>
        <w:tc>
          <w:tcPr>
            <w:tcW w:w="8180" w:type="dxa"/>
            <w:tcBorders/>
            <w:shd w:fill="auto" w:val="clear"/>
            <w:vAlign w:val="bottom"/>
          </w:tcPr>
          <w:p>
            <w:pPr>
              <w:pStyle w:val="TableContents"/>
              <w:spacing w:before="0" w:after="0"/>
              <w:ind w:left="166" w:right="0" w:hanging="0"/>
              <w:rPr/>
            </w:pPr>
            <w:r>
              <w:rPr/>
              <w:t>Deferred taxes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40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12</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360" w:right="0" w:hanging="180"/>
              <w:rPr/>
            </w:pPr>
            <w:r>
              <w:rPr/>
              <w:t>Changes in operating assets and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82" w:right="0" w:firstLine="164"/>
              <w:rPr/>
            </w:pPr>
            <w:r>
              <w:rPr/>
              <w:t>Accounts receivable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(1,145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(490</w:t>
            </w:r>
          </w:p>
        </w:tc>
        <w:tc>
          <w:tcPr>
            <w:tcW w:w="110" w:type="dxa"/>
            <w:tcBorders/>
            <w:shd w:fill="auto" w:val="clear"/>
            <w:vAlign w:val="bottom"/>
          </w:tcPr>
          <w:p>
            <w:pPr>
              <w:pStyle w:val="TableContents"/>
              <w:spacing w:before="0" w:after="0"/>
              <w:jc w:val="left"/>
              <w:rPr/>
            </w:pPr>
            <w:r>
              <w:rPr/>
              <w:t>)</w:t>
            </w:r>
          </w:p>
        </w:tc>
      </w:tr>
      <w:tr>
        <w:trPr/>
        <w:tc>
          <w:tcPr>
            <w:tcW w:w="8180" w:type="dxa"/>
            <w:tcBorders/>
            <w:shd w:fill="CCEEFF" w:val="clear"/>
            <w:vAlign w:val="bottom"/>
          </w:tcPr>
          <w:p>
            <w:pPr>
              <w:pStyle w:val="TableContents"/>
              <w:spacing w:before="0" w:after="0"/>
              <w:ind w:left="182" w:right="0" w:firstLine="164"/>
              <w:rPr/>
            </w:pPr>
            <w:r>
              <w:rPr/>
              <w:t>Inventories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(1,524</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(45</w:t>
            </w:r>
          </w:p>
        </w:tc>
        <w:tc>
          <w:tcPr>
            <w:tcW w:w="110" w:type="dxa"/>
            <w:tcBorders/>
            <w:shd w:fill="CCEEFF" w:val="clear"/>
            <w:vAlign w:val="bottom"/>
          </w:tcPr>
          <w:p>
            <w:pPr>
              <w:pStyle w:val="TableContents"/>
              <w:spacing w:before="0" w:after="0"/>
              <w:jc w:val="left"/>
              <w:rPr/>
            </w:pPr>
            <w:r>
              <w:rPr/>
              <w:t>)</w:t>
            </w:r>
          </w:p>
        </w:tc>
      </w:tr>
      <w:tr>
        <w:trPr/>
        <w:tc>
          <w:tcPr>
            <w:tcW w:w="8180" w:type="dxa"/>
            <w:tcBorders/>
            <w:shd w:fill="auto" w:val="clear"/>
            <w:vAlign w:val="bottom"/>
          </w:tcPr>
          <w:p>
            <w:pPr>
              <w:pStyle w:val="TableContents"/>
              <w:spacing w:before="0" w:after="0"/>
              <w:ind w:left="345" w:right="0" w:hanging="2"/>
              <w:rPr/>
            </w:pPr>
            <w:r>
              <w:rPr/>
              <w:t>Prepaid expenses and other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(111</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(65</w:t>
            </w:r>
          </w:p>
        </w:tc>
        <w:tc>
          <w:tcPr>
            <w:tcW w:w="110" w:type="dxa"/>
            <w:tcBorders/>
            <w:shd w:fill="auto" w:val="clear"/>
            <w:vAlign w:val="bottom"/>
          </w:tcPr>
          <w:p>
            <w:pPr>
              <w:pStyle w:val="TableContents"/>
              <w:spacing w:before="0" w:after="0"/>
              <w:jc w:val="left"/>
              <w:rPr/>
            </w:pPr>
            <w:r>
              <w:rPr/>
              <w:t>)</w:t>
            </w:r>
          </w:p>
        </w:tc>
      </w:tr>
      <w:tr>
        <w:trPr/>
        <w:tc>
          <w:tcPr>
            <w:tcW w:w="8180" w:type="dxa"/>
            <w:tcBorders/>
            <w:shd w:fill="CCEEFF" w:val="clear"/>
            <w:vAlign w:val="bottom"/>
          </w:tcPr>
          <w:p>
            <w:pPr>
              <w:pStyle w:val="TableContents"/>
              <w:spacing w:before="0" w:after="0"/>
              <w:ind w:left="182" w:right="0" w:firstLine="164"/>
              <w:rPr/>
            </w:pPr>
            <w:r>
              <w:rPr/>
              <w:t>Accounts payable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603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58</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ind w:left="182" w:right="0" w:firstLine="164"/>
              <w:rPr/>
            </w:pPr>
            <w:r>
              <w:rPr/>
              <w:t>Accrued expenses and other liabilities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229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0"/>
              <w:jc w:val="right"/>
              <w:rPr/>
            </w:pPr>
            <w:r>
              <w:rPr/>
              <w:t>1,679</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82" w:right="0" w:firstLine="164"/>
              <w:rPr/>
            </w:pPr>
            <w:r>
              <w:rPr/>
              <w:t>Deferred revenues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(644</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0"/>
              <w:jc w:val="right"/>
              <w:rPr/>
            </w:pPr>
            <w:r>
              <w:rPr/>
              <w:t>(444</w:t>
            </w:r>
          </w:p>
        </w:tc>
        <w:tc>
          <w:tcPr>
            <w:tcW w:w="110" w:type="dxa"/>
            <w:tcBorders/>
            <w:shd w:fill="CCEEFF" w:val="clear"/>
            <w:vAlign w:val="bottom"/>
          </w:tcPr>
          <w:p>
            <w:pPr>
              <w:pStyle w:val="TableContents"/>
              <w:spacing w:before="0" w:after="0"/>
              <w:jc w:val="left"/>
              <w:rPr/>
            </w:pPr>
            <w:r>
              <w:rPr/>
              <w:t>)</w:t>
            </w:r>
          </w:p>
        </w:tc>
      </w:tr>
      <w:tr>
        <w:trPr/>
        <w:tc>
          <w:tcPr>
            <w:tcW w:w="8180" w:type="dxa"/>
            <w:tcBorders/>
            <w:shd w:fill="auto" w:val="clear"/>
            <w:vAlign w:val="bottom"/>
          </w:tcPr>
          <w:p>
            <w:pPr>
              <w:pStyle w:val="TableContents"/>
              <w:spacing w:before="0" w:after="0"/>
              <w:ind w:left="182" w:right="0" w:firstLine="164"/>
              <w:rPr/>
            </w:pPr>
            <w:r>
              <w:rPr/>
              <w:t>Operating lease liabilities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(477</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(369</w:t>
            </w:r>
          </w:p>
        </w:tc>
        <w:tc>
          <w:tcPr>
            <w:tcW w:w="110" w:type="dxa"/>
            <w:tcBorders/>
            <w:shd w:fill="auto" w:val="clear"/>
            <w:vAlign w:val="bottom"/>
          </w:tcPr>
          <w:p>
            <w:pPr>
              <w:pStyle w:val="TableContents"/>
              <w:spacing w:before="0" w:after="0"/>
              <w:jc w:val="left"/>
              <w:rPr/>
            </w:pPr>
            <w:r>
              <w:rPr/>
              <w:t>)</w:t>
            </w:r>
          </w:p>
        </w:tc>
      </w:tr>
      <w:tr>
        <w:trPr/>
        <w:tc>
          <w:tcPr>
            <w:tcW w:w="8180" w:type="dxa"/>
            <w:tcBorders/>
            <w:shd w:fill="CCEEFF" w:val="clear"/>
            <w:vAlign w:val="bottom"/>
          </w:tcPr>
          <w:p>
            <w:pPr>
              <w:pStyle w:val="TableContents"/>
              <w:spacing w:before="0" w:after="0"/>
              <w:ind w:left="720" w:right="0" w:hanging="180"/>
              <w:rPr>
                <w:b w:val="false"/>
              </w:rPr>
            </w:pPr>
            <w:r>
              <w:rPr>
                <w:b w:val="false"/>
              </w:rPr>
              <w:t>Net cash (used in) provided by operating activities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(1,108</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1,508</w:t>
            </w:r>
          </w:p>
        </w:tc>
        <w:tc>
          <w:tcPr>
            <w:tcW w:w="110" w:type="dxa"/>
            <w:tcBorders/>
            <w:shd w:fill="CCEEFF" w:val="clear"/>
            <w:vAlign w:val="bottom"/>
          </w:tcPr>
          <w:p>
            <w:pPr>
              <w:pStyle w:val="TableContents"/>
              <w:spacing w:before="0" w:after="283"/>
              <w:jc w:val="left"/>
              <w:rPr/>
            </w:pPr>
            <w:r>
              <w:rPr/>
              <w:t> </w:t>
            </w:r>
          </w:p>
        </w:tc>
      </w:tr>
      <w:tr>
        <w:trPr/>
        <w:tc>
          <w:tcPr>
            <w:tcW w:w="8180" w:type="dxa"/>
            <w:tcBorders/>
            <w:shd w:fill="auto" w:val="clear"/>
            <w:vAlign w:val="bottom"/>
          </w:tcPr>
          <w:p>
            <w:pPr>
              <w:pStyle w:val="TableContents"/>
              <w:spacing w:before="0" w:after="0"/>
              <w:rPr>
                <w:b/>
              </w:rPr>
            </w:pPr>
            <w:r>
              <w:rPr>
                <w:b/>
              </w:rPr>
              <w:t>Cash flows from investing activities: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80" w:right="0" w:hanging="0"/>
              <w:rPr/>
            </w:pPr>
            <w:r>
              <w:rPr/>
              <w:t>Purchase of property and equipment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(3,552</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35" w:type="dxa"/>
            <w:tcBorders/>
            <w:shd w:fill="CCEEFF" w:val="clear"/>
            <w:vAlign w:val="bottom"/>
          </w:tcPr>
          <w:p>
            <w:pPr>
              <w:pStyle w:val="TableContents"/>
              <w:spacing w:before="0" w:after="283"/>
              <w:jc w:val="right"/>
              <w:rPr/>
            </w:pPr>
            <w:r>
              <w:rPr/>
              <w:t>(3,653</w:t>
            </w:r>
          </w:p>
        </w:tc>
        <w:tc>
          <w:tcPr>
            <w:tcW w:w="110" w:type="dxa"/>
            <w:tcBorders/>
            <w:shd w:fill="CCEEFF" w:val="clear"/>
            <w:vAlign w:val="bottom"/>
          </w:tcPr>
          <w:p>
            <w:pPr>
              <w:pStyle w:val="TableContents"/>
              <w:spacing w:before="0" w:after="283"/>
              <w:jc w:val="left"/>
              <w:rPr/>
            </w:pPr>
            <w:r>
              <w:rPr/>
              <w:t>)</w:t>
            </w:r>
          </w:p>
        </w:tc>
      </w:tr>
      <w:tr>
        <w:trPr/>
        <w:tc>
          <w:tcPr>
            <w:tcW w:w="8180" w:type="dxa"/>
            <w:tcBorders/>
            <w:shd w:fill="auto" w:val="clear"/>
            <w:vAlign w:val="bottom"/>
          </w:tcPr>
          <w:p>
            <w:pPr>
              <w:pStyle w:val="TableContents"/>
              <w:spacing w:before="0" w:after="0"/>
              <w:ind w:left="180" w:right="0" w:hanging="0"/>
              <w:rPr/>
            </w:pPr>
            <w:r>
              <w:rPr/>
              <w:t>Cash paid in connection with TheraClear asset acquisition</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(631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35"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8180" w:type="dxa"/>
            <w:tcBorders/>
            <w:shd w:fill="CCEEFF" w:val="clear"/>
            <w:vAlign w:val="bottom"/>
          </w:tcPr>
          <w:p>
            <w:pPr>
              <w:pStyle w:val="TableContents"/>
              <w:spacing w:before="0" w:after="0"/>
              <w:ind w:left="166" w:right="0" w:hanging="0"/>
              <w:rPr/>
            </w:pPr>
            <w:r>
              <w:rPr/>
              <w:t>Cash paid in connection with Ra Medical asset acquisition</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spacing w:before="0" w:after="0"/>
              <w:jc w:val="right"/>
              <w:rPr/>
            </w:pPr>
            <w:r>
              <w:rPr/>
              <w:t>(3,473</w:t>
            </w:r>
          </w:p>
        </w:tc>
        <w:tc>
          <w:tcPr>
            <w:tcW w:w="110" w:type="dxa"/>
            <w:tcBorders/>
            <w:shd w:fill="CCEEFF" w:val="clear"/>
            <w:vAlign w:val="bottom"/>
          </w:tcPr>
          <w:p>
            <w:pPr>
              <w:pStyle w:val="TableContents"/>
              <w:spacing w:before="0" w:after="0"/>
              <w:jc w:val="left"/>
              <w:rPr/>
            </w:pPr>
            <w:r>
              <w:rPr/>
              <w:t>)</w:t>
            </w:r>
          </w:p>
        </w:tc>
      </w:tr>
      <w:tr>
        <w:trPr/>
        <w:tc>
          <w:tcPr>
            <w:tcW w:w="8180" w:type="dxa"/>
            <w:tcBorders/>
            <w:shd w:fill="auto" w:val="clear"/>
            <w:vAlign w:val="bottom"/>
          </w:tcPr>
          <w:p>
            <w:pPr>
              <w:pStyle w:val="TableContents"/>
              <w:spacing w:before="0" w:after="0"/>
              <w:ind w:left="540" w:right="0" w:hanging="0"/>
              <w:rPr>
                <w:b w:val="false"/>
              </w:rPr>
            </w:pPr>
            <w:r>
              <w:rPr>
                <w:b w:val="false"/>
              </w:rPr>
              <w:t>Net cash used in investing activities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(4,183</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35" w:type="dxa"/>
            <w:tcBorders>
              <w:bottom w:val="single" w:sz="12" w:space="0" w:color="000000"/>
            </w:tcBorders>
            <w:shd w:fill="auto" w:val="clear"/>
            <w:tcMar>
              <w:bottom w:w="28" w:type="dxa"/>
            </w:tcMar>
            <w:vAlign w:val="bottom"/>
          </w:tcPr>
          <w:p>
            <w:pPr>
              <w:pStyle w:val="TableContents"/>
              <w:spacing w:before="0" w:after="0"/>
              <w:jc w:val="right"/>
              <w:rPr/>
            </w:pPr>
            <w:r>
              <w:rPr/>
              <w:t>(7,126</w:t>
            </w:r>
          </w:p>
        </w:tc>
        <w:tc>
          <w:tcPr>
            <w:tcW w:w="110" w:type="dxa"/>
            <w:tcBorders/>
            <w:shd w:fill="auto" w:val="clear"/>
            <w:vAlign w:val="bottom"/>
          </w:tcPr>
          <w:p>
            <w:pPr>
              <w:pStyle w:val="TableContents"/>
              <w:spacing w:before="0" w:after="0"/>
              <w:jc w:val="left"/>
              <w:rPr/>
            </w:pPr>
            <w:r>
              <w:rPr/>
              <w:t>)</w:t>
            </w:r>
          </w:p>
        </w:tc>
      </w:tr>
    </w:tbl>
    <w:tbl>
      <w:tblPr>
        <w:tblW w:w="10205" w:type="dxa"/>
        <w:jc w:val="left"/>
        <w:tblInd w:w="0" w:type="dxa"/>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shd w:fill="CCEEFF" w:val="clear"/>
            <w:vAlign w:val="bottom"/>
          </w:tcPr>
          <w:p>
            <w:pPr>
              <w:pStyle w:val="TableContents"/>
              <w:spacing w:before="0" w:after="283"/>
              <w:rPr>
                <w:b/>
              </w:rPr>
            </w:pPr>
            <w:r>
              <w:rPr>
                <w:b/>
              </w:rPr>
              <w:t>Cash flows from financing activities: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ind w:left="180" w:right="0" w:hanging="0"/>
              <w:rPr/>
            </w:pPr>
            <w:r>
              <w:rPr/>
              <w:t>Payment of contingent consideration</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(500</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0"/>
              <w:ind w:left="360" w:right="0" w:hanging="180"/>
              <w:rPr/>
            </w:pPr>
            <w:r>
              <w:rPr/>
              <w:t>Proceeds from long-term debt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8,000</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ind w:left="360" w:right="0" w:hanging="180"/>
              <w:rPr/>
            </w:pPr>
            <w:r>
              <w:rPr/>
              <w:t xml:space="preserve">Payment of deferred financing costs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(133</w:t>
            </w:r>
          </w:p>
        </w:tc>
        <w:tc>
          <w:tcPr>
            <w:tcW w:w="110" w:type="dxa"/>
            <w:tcBorders/>
            <w:shd w:fill="auto" w:val="clear"/>
            <w:vAlign w:val="bottom"/>
          </w:tcPr>
          <w:p>
            <w:pPr>
              <w:pStyle w:val="TableContents"/>
              <w:spacing w:before="0" w:after="283"/>
              <w:jc w:val="left"/>
              <w:rPr/>
            </w:pPr>
            <w:r>
              <w:rPr/>
              <w:t>)</w:t>
            </w:r>
          </w:p>
        </w:tc>
      </w:tr>
      <w:tr>
        <w:trPr/>
        <w:tc>
          <w:tcPr>
            <w:tcW w:w="8240" w:type="dxa"/>
            <w:tcBorders/>
            <w:shd w:fill="CCEEFF" w:val="clear"/>
            <w:vAlign w:val="bottom"/>
          </w:tcPr>
          <w:p>
            <w:pPr>
              <w:pStyle w:val="TableContents"/>
              <w:spacing w:before="0" w:after="0"/>
              <w:ind w:left="360" w:right="0" w:hanging="180"/>
              <w:rPr/>
            </w:pPr>
            <w:r>
              <w:rPr/>
              <w:t>Repayment of  note payable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(7,275</w:t>
            </w:r>
          </w:p>
        </w:tc>
        <w:tc>
          <w:tcPr>
            <w:tcW w:w="110" w:type="dxa"/>
            <w:tcBorders/>
            <w:shd w:fill="CCEEFF" w:val="clear"/>
            <w:vAlign w:val="bottom"/>
          </w:tcPr>
          <w:p>
            <w:pPr>
              <w:pStyle w:val="TableContents"/>
              <w:spacing w:before="0" w:after="0"/>
              <w:jc w:val="left"/>
              <w:rPr/>
            </w:pPr>
            <w:r>
              <w:rPr/>
              <w:t>)</w:t>
            </w:r>
          </w:p>
        </w:tc>
      </w:tr>
      <w:tr>
        <w:trPr/>
        <w:tc>
          <w:tcPr>
            <w:tcW w:w="8240" w:type="dxa"/>
            <w:tcBorders/>
            <w:shd w:fill="auto" w:val="clear"/>
            <w:vAlign w:val="bottom"/>
          </w:tcPr>
          <w:p>
            <w:pPr>
              <w:pStyle w:val="TableContents"/>
              <w:spacing w:before="0" w:after="0"/>
              <w:ind w:left="360" w:right="0" w:hanging="180"/>
              <w:rPr/>
            </w:pPr>
            <w:r>
              <w:rPr/>
              <w:t xml:space="preserve">Repayment of long-term debt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(500</w:t>
            </w:r>
          </w:p>
        </w:tc>
        <w:tc>
          <w:tcPr>
            <w:tcW w:w="110" w:type="dxa"/>
            <w:tcBorders/>
            <w:shd w:fill="auto" w:val="clear"/>
            <w:vAlign w:val="bottom"/>
          </w:tcPr>
          <w:p>
            <w:pPr>
              <w:pStyle w:val="TableContents"/>
              <w:spacing w:before="0" w:after="283"/>
              <w:jc w:val="left"/>
              <w:rPr/>
            </w:pPr>
            <w:r>
              <w:rPr/>
              <w:t>)</w:t>
            </w:r>
          </w:p>
        </w:tc>
      </w:tr>
      <w:tr>
        <w:trPr/>
        <w:tc>
          <w:tcPr>
            <w:tcW w:w="8240" w:type="dxa"/>
            <w:tcBorders/>
            <w:shd w:fill="CCEEFF" w:val="clear"/>
            <w:vAlign w:val="bottom"/>
          </w:tcPr>
          <w:p>
            <w:pPr>
              <w:pStyle w:val="TableContents"/>
              <w:spacing w:before="0" w:after="0"/>
              <w:ind w:left="540" w:right="0" w:hanging="0"/>
              <w:rPr>
                <w:b w:val="false"/>
              </w:rPr>
            </w:pPr>
            <w:r>
              <w:rPr>
                <w:b w:val="false"/>
              </w:rPr>
              <w:t>Net cash (used in) provided by financing activities</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(500</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92</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ind w:left="180" w:right="0" w:hanging="180"/>
              <w:rPr/>
            </w:pPr>
            <w:r>
              <w:rPr/>
              <w:t>Net decrease in cash, cash equivalents and restricted cash</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(5,791</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(5,526</w:t>
            </w:r>
          </w:p>
        </w:tc>
        <w:tc>
          <w:tcPr>
            <w:tcW w:w="110" w:type="dxa"/>
            <w:tcBorders/>
            <w:shd w:fill="auto" w:val="clear"/>
            <w:vAlign w:val="bottom"/>
          </w:tcPr>
          <w:p>
            <w:pPr>
              <w:pStyle w:val="TableContents"/>
              <w:spacing w:before="0" w:after="0"/>
              <w:jc w:val="left"/>
              <w:rPr/>
            </w:pPr>
            <w:r>
              <w:rPr/>
              <w:t>)</w:t>
            </w:r>
          </w:p>
        </w:tc>
      </w:tr>
      <w:tr>
        <w:trPr/>
        <w:tc>
          <w:tcPr>
            <w:tcW w:w="8240" w:type="dxa"/>
            <w:tcBorders/>
            <w:shd w:fill="CCEEFF" w:val="clear"/>
            <w:vAlign w:val="bottom"/>
          </w:tcPr>
          <w:p>
            <w:pPr>
              <w:pStyle w:val="TableContents"/>
              <w:spacing w:before="0" w:after="0"/>
              <w:ind w:left="180" w:right="0" w:hanging="180"/>
              <w:rPr/>
            </w:pPr>
            <w:r>
              <w:rPr/>
              <w:t>Cash, cash equivalents and restricted cash at beginning of year</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12,586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18,112</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ind w:left="180" w:right="0" w:hanging="180"/>
              <w:rPr/>
            </w:pPr>
            <w:r>
              <w:rPr/>
              <w:t>Cash, cash equivalents and restricted cash at end of year</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6,795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12,586</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0"/>
              <w:ind w:left="180" w:right="0" w:hanging="180"/>
              <w:rPr>
                <w:b/>
              </w:rPr>
            </w:pPr>
            <w:r>
              <w:rPr>
                <w:b/>
              </w:rPr>
              <w:t>Supplemental disclosure of cash flow information: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rPr/>
            </w:pPr>
            <w:r>
              <w:rPr/>
              <w:t>Cash paid during the year for interest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744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222</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0"/>
              <w:rPr/>
            </w:pPr>
            <w:r>
              <w:rPr/>
              <w:t xml:space="preserve">Cash paid during the year for income taxes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19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ind w:left="180" w:right="0" w:hanging="180"/>
              <w:rPr>
                <w:b/>
              </w:rPr>
            </w:pPr>
            <w:r>
              <w:rPr>
                <w:b/>
              </w:rPr>
              <w:t>Supplemental schedule of non-cash investing and financing activities: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ind w:left="180" w:right="0" w:hanging="180"/>
              <w:jc w:val="left"/>
              <w:rPr/>
            </w:pPr>
            <w:r>
              <w:rPr/>
              <w:t> </w:t>
            </w:r>
          </w:p>
        </w:tc>
      </w:tr>
      <w:tr>
        <w:trPr/>
        <w:tc>
          <w:tcPr>
            <w:tcW w:w="8240" w:type="dxa"/>
            <w:tcBorders/>
            <w:shd w:fill="CCEEFF" w:val="clear"/>
            <w:vAlign w:val="bottom"/>
          </w:tcPr>
          <w:p>
            <w:pPr>
              <w:pStyle w:val="TableContents"/>
              <w:spacing w:before="0" w:after="0"/>
              <w:ind w:left="360" w:right="0" w:hanging="180"/>
              <w:rPr/>
            </w:pPr>
            <w:r>
              <w:rPr/>
              <w:t xml:space="preserve">Change in operating lease right-of-use assets and liabilities due to new and amended leases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732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283"/>
              <w:rPr/>
            </w:pPr>
            <w:r>
              <w:rPr/>
              <w:t xml:space="preserve">Inventories acquired in connection with TheraClear asset acquisition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71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283"/>
              <w:rPr/>
            </w:pPr>
            <w:r>
              <w:rPr/>
              <w:t xml:space="preserve">Intangible assets acquired in connection with TheraClear asset acquisition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10,182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ind w:left="180" w:right="0" w:hanging="180"/>
              <w:jc w:val="left"/>
              <w:rPr/>
            </w:pPr>
            <w:r>
              <w:rPr/>
              <w:t> </w:t>
            </w:r>
          </w:p>
        </w:tc>
      </w:tr>
      <w:tr>
        <w:trPr/>
        <w:tc>
          <w:tcPr>
            <w:tcW w:w="8240" w:type="dxa"/>
            <w:tcBorders/>
            <w:shd w:fill="auto" w:val="clear"/>
            <w:vAlign w:val="bottom"/>
          </w:tcPr>
          <w:p>
            <w:pPr>
              <w:pStyle w:val="TableContents"/>
              <w:spacing w:before="0" w:after="0"/>
              <w:ind w:left="360" w:right="0" w:hanging="180"/>
              <w:rPr/>
            </w:pPr>
            <w:r>
              <w:rPr/>
              <w:t xml:space="preserve">Contingent consideration issued in connection with TheraClear asset acquisition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9,122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283"/>
              <w:rPr/>
            </w:pPr>
            <w:r>
              <w:rPr/>
              <w:t xml:space="preserve">Common stock issued in connection with TheraClear asset acquisition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500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283"/>
              <w:rPr/>
            </w:pPr>
            <w:r>
              <w:rPr/>
              <w:t xml:space="preserve">Transfer of property and equipment to inventories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463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jc w:val="left"/>
              <w:rPr/>
            </w:pPr>
            <w:r>
              <w:rPr/>
              <w:t> </w:t>
            </w:r>
          </w:p>
        </w:tc>
      </w:tr>
      <w:tr>
        <w:trPr/>
        <w:tc>
          <w:tcPr>
            <w:tcW w:w="8240" w:type="dxa"/>
            <w:tcBorders/>
            <w:shd w:fill="CCEEFF" w:val="clear"/>
            <w:vAlign w:val="bottom"/>
          </w:tcPr>
          <w:p>
            <w:pPr>
              <w:pStyle w:val="TableContents"/>
              <w:spacing w:before="0" w:after="0"/>
              <w:ind w:left="180" w:right="0" w:hanging="180"/>
              <w:rPr/>
            </w:pPr>
            <w:r>
              <w:rPr/>
              <w:t>Issuance of common stock warrants in connection with Senior Term Facility</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585</w:t>
            </w:r>
          </w:p>
        </w:tc>
        <w:tc>
          <w:tcPr>
            <w:tcW w:w="110" w:type="dxa"/>
            <w:tcBorders/>
            <w:shd w:fill="CCEEFF" w:val="clear"/>
            <w:vAlign w:val="bottom"/>
          </w:tcPr>
          <w:p>
            <w:pPr>
              <w:pStyle w:val="TableContents"/>
              <w:spacing w:before="0" w:after="283"/>
              <w:jc w:val="left"/>
              <w:rPr/>
            </w:pPr>
            <w:r>
              <w:rPr/>
              <w:t> </w:t>
            </w:r>
          </w:p>
        </w:tc>
      </w:tr>
      <w:tr>
        <w:trPr/>
        <w:tc>
          <w:tcPr>
            <w:tcW w:w="8240" w:type="dxa"/>
            <w:tcBorders/>
            <w:shd w:fill="auto" w:val="clear"/>
            <w:vAlign w:val="bottom"/>
          </w:tcPr>
          <w:p>
            <w:pPr>
              <w:pStyle w:val="TableContents"/>
              <w:spacing w:before="0" w:after="0"/>
              <w:rPr/>
            </w:pPr>
            <w:r>
              <w:rPr/>
              <w:t xml:space="preserve">Assumed deferred revenues in connection with asset acquisition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1,841</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highlight w:val="white"/>
        </w:rPr>
      </w:pPr>
      <w:r>
        <w:rPr>
          <w:rFonts w:ascii="Times New Roman" w:hAnsi="Times New Roman"/>
          <w:color w:val="000000"/>
          <w:sz w:val="20"/>
          <w:highlight w:val="white"/>
        </w:rPr>
        <w:t>The accompanying notes are an integral part of these consolidated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i/>
            <w:color w:val="000000"/>
            <w:sz w:val="16"/>
            <w:highlight w:val="white"/>
          </w:rPr>
          <w:t>Table of Contents</w:t>
        </w:r>
      </w:hyperlink>
    </w:p>
    <w:p>
      <w:pPr>
        <w:pStyle w:val="TextBody"/>
        <w:spacing w:before="0" w:after="0"/>
        <w:ind w:left="0" w:right="0" w:hanging="0"/>
        <w:jc w:val="both"/>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r>
    </w:p>
    <w:p>
      <w:pPr>
        <w:pStyle w:val="TextBody"/>
        <w:spacing w:before="0" w:after="0"/>
        <w:ind w:left="0" w:right="0" w:hanging="0"/>
        <w:jc w:val="center"/>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STRATA Skin Sciences, Inc. and Subsidiary</w:t>
      </w:r>
      <w:bookmarkStart w:id="53" w:name="Notes"/>
      <w:bookmarkEnd w:id="53"/>
      <w:r>
        <w:rPr>
          <w:rFonts w:ascii="Times New Roman" w:hAnsi="Times New Roman"/>
          <w:b/>
          <w:i w:val="false"/>
          <w:caps w:val="false"/>
          <w:smallCaps w:val="false"/>
          <w:color w:val="000000"/>
          <w:spacing w:val="0"/>
          <w:sz w:val="20"/>
          <w:highlight w:val="white"/>
        </w:rPr>
        <w:br/>
        <w:t>Notes to Consolidated Financial Statements</w:t>
      </w:r>
    </w:p>
    <w:p>
      <w:pPr>
        <w:pStyle w:val="TextBody"/>
        <w:spacing w:before="0" w:after="0"/>
        <w:jc w:val="both"/>
        <w:rPr/>
      </w:pPr>
      <w:r>
        <w:rPr/>
      </w:r>
    </w:p>
    <w:p>
      <w:pPr>
        <w:pStyle w:val="TextBody"/>
        <w:spacing w:before="0" w:after="0"/>
        <w:jc w:val="left"/>
        <w:rPr/>
      </w:pPr>
      <w:r>
        <w:rPr/>
      </w:r>
    </w:p>
    <w:p>
      <w:pPr>
        <w:pStyle w:val="TextBody"/>
        <w:spacing w:before="0" w:after="0"/>
        <w:ind w:left="0" w:right="0" w:hanging="0"/>
        <w:jc w:val="both"/>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1. Organization and Nature of Business</w:t>
      </w:r>
    </w:p>
    <w:p>
      <w:pPr>
        <w:pStyle w:val="TextBody"/>
        <w:spacing w:before="0" w:after="0"/>
        <w:jc w:val="left"/>
        <w:rPr/>
      </w:pPr>
      <w:r>
        <w:rPr/>
      </w:r>
    </w:p>
    <w:p>
      <w:pPr>
        <w:pStyle w:val="TextBody"/>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STRATA Skin Sciences, Inc. (the “Company”)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In January 2022, the Company acquired the TheraClear Acne Therapy System to broaden its opportunities with expansion potential in the acne care market. The Company markets the device under the brand name TheraClear® X.</w:t>
      </w:r>
    </w:p>
    <w:p>
      <w:pPr>
        <w:pStyle w:val="TextBody"/>
        <w:spacing w:before="0" w:after="0"/>
        <w:ind w:left="0" w:right="0" w:hanging="0"/>
        <w:jc w:val="left"/>
        <w:rPr>
          <w:rFonts w:ascii="Times New Roman" w:hAnsi="Times New Roman"/>
          <w:i w:val="false"/>
          <w:caps w:val="false"/>
          <w:smallCaps w:val="false"/>
          <w:color w:val="000000"/>
          <w:sz w:val="20"/>
          <w:highlight w:val="white"/>
        </w:rPr>
      </w:pPr>
      <w:r>
        <w:rPr>
          <w:rFonts w:ascii="Times New Roman" w:hAnsi="Times New Roman"/>
          <w:i w:val="false"/>
          <w:caps w:val="false"/>
          <w:smallCaps w:val="false"/>
          <w:color w:val="000000"/>
          <w:sz w:val="20"/>
          <w:highlight w:val="white"/>
        </w:rPr>
      </w:r>
    </w:p>
    <w:p>
      <w:pPr>
        <w:pStyle w:val="TextBody"/>
        <w:spacing w:before="0" w:after="0"/>
        <w:jc w:val="left"/>
        <w:rPr>
          <w:rFonts w:ascii="Times New Roman" w:hAnsi="Times New Roman"/>
          <w:b w:val="false"/>
          <w:i/>
          <w:caps w:val="false"/>
          <w:smallCaps w:val="false"/>
          <w:color w:val="000000"/>
          <w:spacing w:val="0"/>
          <w:sz w:val="20"/>
          <w:highlight w:val="white"/>
        </w:rPr>
      </w:pPr>
      <w:r>
        <w:rPr>
          <w:rFonts w:ascii="Times New Roman" w:hAnsi="Times New Roman"/>
          <w:b w:val="false"/>
          <w:i/>
          <w:caps w:val="false"/>
          <w:smallCaps w:val="false"/>
          <w:color w:val="000000"/>
          <w:spacing w:val="0"/>
          <w:sz w:val="20"/>
          <w:highlight w:val="white"/>
        </w:rPr>
        <w:t>COVID-19 Pandemic</w:t>
      </w:r>
    </w:p>
    <w:p>
      <w:pPr>
        <w:pStyle w:val="TextBody"/>
        <w:spacing w:before="0" w:after="0"/>
        <w:jc w:val="left"/>
        <w:rPr>
          <w:rFonts w:ascii="Times New Roman" w:hAnsi="Times New Roman"/>
          <w:i w:val="false"/>
          <w:caps w:val="false"/>
          <w:smallCaps w:val="false"/>
          <w:color w:val="000000"/>
          <w:sz w:val="20"/>
          <w:highlight w:val="white"/>
        </w:rPr>
      </w:pPr>
      <w:r>
        <w:rPr>
          <w:rFonts w:ascii="Times New Roman" w:hAnsi="Times New Roman"/>
          <w:i w:val="false"/>
          <w:caps w:val="false"/>
          <w:smallCaps w:val="false"/>
          <w:color w:val="000000"/>
          <w:sz w:val="20"/>
          <w:highlight w:val="white"/>
        </w:rPr>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late 2019, there was an outbreak of a new strain of coronavirus (“COVID-19”) which became a global pandemic. While many of COVID-19’s initial disruptions and damage to the global economy have been mitigated, the COVID-19 pandemic has continued to negatively impact the economy, disrupted global supply chains, constrained workforce participation and created significant volatility and disruption of financial markets. The pandemic led to the suspension of elective procedures in the U.S. and to the temporary closure of many physician practices, which are the Company’s primary customers. While most offices have reopened, some physician practices closed and never reopened, and the impact of the ongoing COVID-19 pandemic and its variants on the Company’s operational and financial performance, including its ability to execute its business strategies and initiatives in the expected time frames, will depend on future developments, including, but not limited to, the ongoing mutations and spread of the COVID-19 virus, impact on business operations, supply chains and transport, and governmental and societal responses thereto, all of which are uncertain and cannot be predicted.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ongoing COVID-19 pandemic has had a negative impact on the Company’s results of operations and financial performance through fiscal 2022, and the Company expects it will continue to have a negative impact on revenues, earnings and cash flows until such time as its customers adjust to the pandemic’s ramifications. Some physician offices continue to experience staffing issues, and the Company believes these shortages of trained personnel have negatively impacted its business. Accordingly, current results and financial conditions discussed herein may not be indicative of future operating results and trends.</w:t>
      </w:r>
    </w:p>
    <w:p>
      <w:pPr>
        <w:pStyle w:val="TextBody"/>
        <w:spacing w:before="0" w:after="0"/>
        <w:jc w:val="left"/>
        <w:rPr/>
      </w:pPr>
      <w:r>
        <w:rPr/>
      </w:r>
    </w:p>
    <w:p>
      <w:pPr>
        <w:pStyle w:val="TextBody"/>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left"/>
        <w:rPr/>
      </w:pPr>
      <w:r>
        <w:rPr/>
      </w:r>
    </w:p>
    <w:p>
      <w:pPr>
        <w:pStyle w:val="TextBody"/>
        <w:spacing w:before="0" w:after="0"/>
        <w:ind w:left="0" w:right="0" w:hanging="0"/>
        <w:jc w:val="both"/>
        <w:rPr>
          <w:rFonts w:ascii="Times New Roman" w:hAnsi="Times New Roman"/>
          <w:b w:val="false"/>
          <w:i/>
          <w:caps w:val="false"/>
          <w:smallCaps w:val="false"/>
          <w:color w:val="000000"/>
          <w:spacing w:val="0"/>
          <w:sz w:val="20"/>
          <w:highlight w:val="white"/>
        </w:rPr>
      </w:pPr>
      <w:r>
        <w:rPr>
          <w:rFonts w:ascii="Times New Roman" w:hAnsi="Times New Roman"/>
          <w:b w:val="false"/>
          <w:i/>
          <w:caps w:val="false"/>
          <w:smallCaps w:val="false"/>
          <w:color w:val="000000"/>
          <w:spacing w:val="0"/>
          <w:sz w:val="20"/>
          <w:highlight w:val="white"/>
        </w:rPr>
        <w:t>Russia-Ukraine War</w:t>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Prior to the outbreak of the Russia-Ukraine War, Ukraine was the largest exporter of noble gases including neon, krypton, and xenon. Historically, Ukraine has been the source of a significant amount of gas supplied to the Company by its contract suppliers. Neon gas is essential to the proper functioning of the Company’s lasers. The Company’s supporters have been resourceful in continuing to supply gases to the Company but cannot assure it that the supply will not remain uninterrupted. The reduced supply and war have raised the price of gas significantly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disruptions caused by this war.</w:t>
      </w:r>
    </w:p>
    <w:p>
      <w:pPr>
        <w:pStyle w:val="TextBody"/>
        <w:spacing w:before="0" w:after="0"/>
        <w:jc w:val="left"/>
        <w:rPr/>
      </w:pPr>
      <w:r>
        <w:rPr/>
      </w:r>
    </w:p>
    <w:p>
      <w:pPr>
        <w:pStyle w:val="TextBody"/>
        <w:spacing w:before="0" w:after="0"/>
        <w:ind w:left="0" w:right="0" w:hanging="0"/>
        <w:jc w:val="both"/>
        <w:rPr>
          <w:rFonts w:ascii="Times New Roman" w:hAnsi="Times New Roman"/>
          <w:b w:val="false"/>
          <w:i/>
          <w:color w:val="000000"/>
          <w:spacing w:val="0"/>
          <w:sz w:val="20"/>
        </w:rPr>
      </w:pPr>
      <w:r>
        <w:rPr>
          <w:rFonts w:ascii="Times New Roman" w:hAnsi="Times New Roman"/>
          <w:b w:val="false"/>
          <w:i/>
          <w:color w:val="000000"/>
          <w:spacing w:val="0"/>
          <w:sz w:val="20"/>
        </w:rPr>
      </w:r>
    </w:p>
    <w:p>
      <w:pPr>
        <w:pStyle w:val="TextBody"/>
        <w:spacing w:before="0" w:after="0"/>
        <w:jc w:val="left"/>
        <w:rPr/>
      </w:pPr>
      <w:r>
        <w:rPr/>
      </w:r>
    </w:p>
    <w:p>
      <w:pPr>
        <w:pStyle w:val="TextBody"/>
        <w:spacing w:before="0" w:after="0"/>
        <w:ind w:left="0" w:right="0" w:hanging="0"/>
        <w:jc w:val="both"/>
        <w:rPr>
          <w:rFonts w:ascii="Times New Roman" w:hAnsi="Times New Roman"/>
          <w:b w:val="false"/>
          <w:i/>
          <w:color w:val="000000"/>
          <w:spacing w:val="0"/>
          <w:sz w:val="20"/>
        </w:rPr>
      </w:pPr>
      <w:r>
        <w:rPr>
          <w:rFonts w:ascii="Times New Roman" w:hAnsi="Times New Roman"/>
          <w:b w:val="false"/>
          <w:i/>
          <w:color w:val="000000"/>
          <w:spacing w:val="0"/>
          <w:sz w:val="20"/>
        </w:rPr>
        <w:t>Liquidity and Going Concern</w:t>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Company has been negatively impacted by the ongoing COVID-19 pandemic, has historically experienced recurring losses, has been dependent on raising capital from the sale of securities in order to continue to operate, was required to restrict cash for potential sales tax liabilities (see Notes 2 and 12) and refinanced its debt at a lower interest rate. In October 2021, the Company entered into an equity distribution agreement with an investment bank under which the Company may sell up to $11.0 million of its common stock in registered “at-the-market” offerings. Management believes that the Company’s cash and cash equivalents, combined with the anticipated revenues from the sale or use of its products and operating expense management, will be sufficient to satisfy the Company’s working capital needs, capital asset purchases, outstanding commitments and other liquidity requirements associated with its existing operations for at least the next 12 months following the date of the issuance of these consolidated financial statements. However, market conditions, including the negative impact of the ongoing COVID-19 pandemic and the Russia-Ukraine War on the financial markets, supply chain disruptions and rising interest rates, could interfere with the Company’s ability to access financing and on favorable terms.</w:t>
      </w:r>
    </w:p>
    <w:p>
      <w:pPr>
        <w:pStyle w:val="TextBody"/>
        <w:spacing w:before="0" w:after="0"/>
        <w:ind w:left="0" w:right="0" w:firstLine="72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pacing w:val="0"/>
          <w:sz w:val="16"/>
        </w:rPr>
      </w:pPr>
      <w:r>
        <w:rPr>
          <w:rFonts w:ascii="Times New Roman" w:hAnsi="Times New Roman"/>
          <w:b w:val="false"/>
          <w:i w:val="false"/>
          <w:caps w:val="false"/>
          <w:smallCaps w:val="false"/>
          <w:color w:val="000000"/>
          <w:spacing w:val="0"/>
          <w:sz w:val="16"/>
        </w:rPr>
        <w:t>F-8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aps w:val="false"/>
            <w:smallCaps w:val="false"/>
            <w:color w:val="000000"/>
            <w:spacing w:val="0"/>
            <w:sz w:val="16"/>
          </w:rPr>
          <w:t>Table of Contents</w:t>
        </w:r>
      </w:hyperlink>
    </w:p>
    <w:p>
      <w:pPr>
        <w:pStyle w:val="TextBody"/>
        <w:spacing w:before="200" w:after="20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STRATA Skin Sciences, Inc. and Subsidiary</w:t>
        <w:br/>
        <w:t>Notes to Consolidated Financial Statements</w:t>
      </w:r>
    </w:p>
    <w:p>
      <w:pPr>
        <w:pStyle w:val="TextBody"/>
        <w:spacing w:before="0" w:after="0"/>
        <w:jc w:val="left"/>
        <w:rPr/>
      </w:pPr>
      <w:r>
        <w:rPr/>
      </w:r>
    </w:p>
    <w:p>
      <w:pPr>
        <w:pStyle w:val="TextBody"/>
        <w:spacing w:before="0" w:after="0"/>
        <w:jc w:val="both"/>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 xml:space="preserve">2. Basis of Presentation and Summary of Significant Accounting Policies </w:t>
      </w:r>
    </w:p>
    <w:p>
      <w:pPr>
        <w:pStyle w:val="TextBody"/>
        <w:spacing w:before="0" w:after="0"/>
        <w:jc w:val="both"/>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hanging="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Basis of Presentation and Principles of Consolidation</w:t>
      </w:r>
    </w:p>
    <w:p>
      <w:pPr>
        <w:pStyle w:val="TextBody"/>
        <w:spacing w:before="0" w:after="0"/>
        <w:jc w:val="left"/>
        <w:rPr/>
      </w:pPr>
      <w:r>
        <w:rPr/>
      </w:r>
    </w:p>
    <w:p>
      <w:pPr>
        <w:pStyle w:val="TextBody"/>
        <w:spacing w:before="0" w:after="0"/>
        <w:ind w:left="0" w:right="0" w:hanging="0"/>
        <w:jc w:val="both"/>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ind w:left="0" w:right="0" w:hanging="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Updates (“ASUs”) of the Financial Accounting Standards Board (“FASB”). The accompanying consolidated financial statements include the accounts of the Company and Photomedex India Private Limited, its wholly-owned subsidiary in India. No operating activities have occurred within the Company’s subsidiary as of and during the years ended December 31, 2022 and 2021.</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Use of Estimates</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preparation of the consolidated financial statements in conformity with GAAP requires management to make estimates and assumptions that affect the reported amounts of assets and liabilities, disclosure of contingent assets and liabilities at the date of the consolidated financial statements, and reported amounts of revenue and expenses during the reporting period. The Company’s significant estimates and judgments involve revenue recognition with respect to deferred revenues and the contract term and valuation allowances of accounts receivable, inputs used when evaluating goodwill for impairment, inputs used in the valuation of acquired intangible assets and contingent consideration, state sales and use tax accruals, the estimated useful lives of intangible assets, and the valuation allowance related to deferred tax assets. Actual results could differ from those estimates.</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Concentrations of Credit Risk and Major Customers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Company’s cash is held on deposit in demand accounts at a large financial institution in amounts in excess of the Federal Deposit Insurance Corporation, or FDIC, insurance coverage limit of $0.3 million per depositor, per FDIC-insured bank, per ownership category. Management has reviewed the financial statements of this institution and believes it has sufficient assets and liquidity to conduct its operations in the ordinary course of business with little credit risk to the Company. </w:t>
      </w:r>
    </w:p>
    <w:p>
      <w:pPr>
        <w:pStyle w:val="TextBody"/>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had two customers and one customer, international distributors, from which it earns dermatology recurring procedures and dermatology procedures equipment revenues, that accounted for more than 10% of the Company’s revenues for the years ended December 31, 2022 and 2021, respectively. Revenues from these customers were $8.5 million and $3.4 million, or 23% and 11%, of total net revenues during the years ended December 31, 2022 and 2021, respectively. Accounts receivable associated with  these customers was $0.5 million and 11% of net accounts receivable as of December 31, 2022, and less than 10% of total accounts receivable as of December 31, 2021. No other customer represented more than 10% of total accounts receivable as of December 31, 2022 or 2021.</w:t>
      </w:r>
    </w:p>
    <w:p>
      <w:pPr>
        <w:pStyle w:val="TextBody"/>
        <w:spacing w:before="0" w:after="0"/>
        <w:jc w:val="left"/>
        <w:rPr>
          <w:color w:val="000000"/>
          <w:highlight w:val="white"/>
        </w:rPr>
      </w:pPr>
      <w:r>
        <w:rPr>
          <w:color w:val="000000"/>
          <w:highlight w:val="white"/>
        </w:rPr>
        <w:t> </w:t>
      </w:r>
    </w:p>
    <w:p>
      <w:pPr>
        <w:pStyle w:val="TextBody"/>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Cash and Cash Equivalents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considers all highly-liquid investments purchased with an original maturity of three months or less to be cash equivalents. As of December 31, 2022 and 2021, cash equivalents consisted of credit card transactions with settlement terms of less than five days.</w:t>
      </w:r>
    </w:p>
    <w:p>
      <w:pPr>
        <w:pStyle w:val="TextBody"/>
        <w:spacing w:before="0" w:after="0"/>
        <w:jc w:val="left"/>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Restricted Cash</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As discussed more fully in Note 12, an administrative state judge in the State of New York issued an opinion in January 2021 finding in favor of the Company that the sale of XTRAC treatment codes was not taxable as sales tax with respect to that state’s first assessment. The relevant taxing authority filed an appeal of the administrative law judge’s finding and, following the submission of legal briefs by both sides and oral argument held in January 2022, on May 6, 2022, the Company received a written decision from the State of New York Tax Appeals Tribunal (“Tribunal”) overturning the favorable sales tax determination of the administrative law judge. The Company filed an appeal of the Tribunal’s decision, and posted the required appellate bond requiring the posting of cash collateral, with the New York State Appellate Division, and is awaiting for the appellate court to set a briefing and oral argument schedule. The cash collateral is recorded as restricted cash on the consolidated balance sheet as of December 31, 2022. The following table provides a reconciliation of the components of cash, cash equivalents and restricted cash reported in the Company’s consolidated balance sheets to the total of the amount presented in the consolidated statements of cash flows (in thousands):</w:t>
      </w:r>
    </w:p>
    <w:p>
      <w:pPr>
        <w:pStyle w:val="TextBody"/>
        <w:spacing w:before="0" w:after="0"/>
        <w:jc w:val="left"/>
        <w:rPr>
          <w:rFonts w:ascii="Times New Roman" w:hAnsi="Times New Roman"/>
          <w:sz w:val="20"/>
        </w:rPr>
      </w:pPr>
      <w:r>
        <w:rPr>
          <w:rFonts w:ascii="Times New Roman" w:hAnsi="Times New Roman"/>
          <w:sz w:val="20"/>
        </w:rPr>
      </w:r>
    </w:p>
    <w:tbl>
      <w:tblPr>
        <w:tblW w:w="9865" w:type="dxa"/>
        <w:jc w:val="left"/>
        <w:tblInd w:w="0" w:type="dxa"/>
        <w:tblCellMar>
          <w:top w:w="0" w:type="dxa"/>
          <w:left w:w="0" w:type="dxa"/>
          <w:bottom w:w="0" w:type="dxa"/>
          <w:right w:w="0" w:type="dxa"/>
        </w:tblCellMar>
      </w:tblPr>
      <w:tblGrid>
        <w:gridCol w:w="8285"/>
        <w:gridCol w:w="60"/>
        <w:gridCol w:w="125"/>
        <w:gridCol w:w="485"/>
        <w:gridCol w:w="60"/>
        <w:gridCol w:w="60"/>
        <w:gridCol w:w="125"/>
        <w:gridCol w:w="590"/>
        <w:gridCol w:w="75"/>
      </w:tblGrid>
      <w:tr>
        <w:trPr/>
        <w:tc>
          <w:tcPr>
            <w:tcW w:w="82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center"/>
              <w:rPr/>
            </w:pPr>
            <w:r>
              <w:rPr/>
              <w:t> </w:t>
            </w:r>
          </w:p>
        </w:tc>
        <w:tc>
          <w:tcPr>
            <w:tcW w:w="1445" w:type="dxa"/>
            <w:gridSpan w:val="6"/>
            <w:tcBorders>
              <w:bottom w:val="single" w:sz="12" w:space="0" w:color="000000"/>
            </w:tcBorders>
            <w:shd w:fill="auto" w:val="clear"/>
            <w:tcMar>
              <w:bottom w:w="28" w:type="dxa"/>
            </w:tcMar>
            <w:vAlign w:val="bottom"/>
          </w:tcPr>
          <w:p>
            <w:pPr>
              <w:pStyle w:val="TableContents"/>
              <w:spacing w:before="0" w:after="0"/>
              <w:jc w:val="center"/>
              <w:rPr>
                <w:b/>
                <w:sz w:val="20"/>
              </w:rPr>
            </w:pPr>
            <w:r>
              <w:rPr>
                <w:b/>
                <w:sz w:val="20"/>
              </w:rPr>
              <w:t>December 31,</w:t>
            </w:r>
          </w:p>
        </w:tc>
        <w:tc>
          <w:tcPr>
            <w:tcW w:w="75" w:type="dxa"/>
            <w:tcBorders/>
            <w:shd w:fill="auto" w:val="clear"/>
            <w:vAlign w:val="bottom"/>
          </w:tcPr>
          <w:p>
            <w:pPr>
              <w:pStyle w:val="TableContents"/>
              <w:spacing w:before="0" w:after="283"/>
              <w:jc w:val="left"/>
              <w:rPr/>
            </w:pPr>
            <w:r>
              <w:rPr/>
              <w:t> </w:t>
            </w:r>
          </w:p>
        </w:tc>
      </w:tr>
      <w:tr>
        <w:trPr/>
        <w:tc>
          <w:tcPr>
            <w:tcW w:w="82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jc w:val="center"/>
              <w:rPr>
                <w:b/>
                <w:sz w:val="20"/>
              </w:rPr>
            </w:pPr>
            <w:r>
              <w:rPr>
                <w:b/>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b/>
                <w:sz w:val="20"/>
              </w:rPr>
            </w:pPr>
            <w:r>
              <w:rPr>
                <w:b/>
                <w:sz w:val="20"/>
              </w:rPr>
              <w:t>2021</w:t>
            </w:r>
          </w:p>
        </w:tc>
        <w:tc>
          <w:tcPr>
            <w:tcW w:w="75" w:type="dxa"/>
            <w:tcBorders/>
            <w:shd w:fill="auto" w:val="clear"/>
            <w:vAlign w:val="bottom"/>
          </w:tcPr>
          <w:p>
            <w:pPr>
              <w:pStyle w:val="TableContents"/>
              <w:spacing w:before="0" w:after="283"/>
              <w:jc w:val="left"/>
              <w:rPr/>
            </w:pPr>
            <w:r>
              <w:rPr/>
              <w:t> </w:t>
            </w:r>
          </w:p>
        </w:tc>
      </w:tr>
      <w:tr>
        <w:trPr/>
        <w:tc>
          <w:tcPr>
            <w:tcW w:w="8285" w:type="dxa"/>
            <w:tcBorders/>
            <w:shd w:fill="CCEEFF" w:val="clear"/>
            <w:vAlign w:val="bottom"/>
          </w:tcPr>
          <w:p>
            <w:pPr>
              <w:pStyle w:val="TableContents"/>
              <w:spacing w:before="0" w:after="0"/>
              <w:jc w:val="left"/>
              <w:rPr>
                <w:sz w:val="20"/>
              </w:rPr>
            </w:pPr>
            <w:r>
              <w:rPr>
                <w:sz w:val="20"/>
              </w:rPr>
              <w:t>Cash and cash equivalents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sz w:val="20"/>
              </w:rPr>
            </w:pPr>
            <w:r>
              <w:rPr>
                <w:sz w:val="20"/>
              </w:rPr>
              <w:t>$</w:t>
            </w:r>
          </w:p>
        </w:tc>
        <w:tc>
          <w:tcPr>
            <w:tcW w:w="485" w:type="dxa"/>
            <w:tcBorders/>
            <w:shd w:fill="CCEEFF" w:val="clear"/>
            <w:vAlign w:val="bottom"/>
          </w:tcPr>
          <w:p>
            <w:pPr>
              <w:pStyle w:val="TableContents"/>
              <w:spacing w:before="0" w:after="0"/>
              <w:jc w:val="right"/>
              <w:rPr>
                <w:sz w:val="20"/>
              </w:rPr>
            </w:pPr>
            <w:r>
              <w:rPr>
                <w:sz w:val="20"/>
              </w:rPr>
              <w:t>5,434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sz w:val="20"/>
              </w:rPr>
            </w:pPr>
            <w:r>
              <w:rPr>
                <w:sz w:val="20"/>
              </w:rPr>
              <w:t>$</w:t>
            </w:r>
          </w:p>
        </w:tc>
        <w:tc>
          <w:tcPr>
            <w:tcW w:w="590" w:type="dxa"/>
            <w:tcBorders/>
            <w:shd w:fill="CCEEFF" w:val="clear"/>
            <w:vAlign w:val="bottom"/>
          </w:tcPr>
          <w:p>
            <w:pPr>
              <w:pStyle w:val="TableContents"/>
              <w:spacing w:before="0" w:after="0"/>
              <w:jc w:val="right"/>
              <w:rPr>
                <w:sz w:val="20"/>
              </w:rPr>
            </w:pPr>
            <w:r>
              <w:rPr>
                <w:sz w:val="20"/>
              </w:rPr>
              <w:t>12,586</w:t>
            </w:r>
          </w:p>
        </w:tc>
        <w:tc>
          <w:tcPr>
            <w:tcW w:w="75" w:type="dxa"/>
            <w:tcBorders/>
            <w:shd w:fill="CCEEFF" w:val="clear"/>
            <w:vAlign w:val="bottom"/>
          </w:tcPr>
          <w:p>
            <w:pPr>
              <w:pStyle w:val="TableContents"/>
              <w:spacing w:before="0" w:after="283"/>
              <w:jc w:val="left"/>
              <w:rPr/>
            </w:pPr>
            <w:r>
              <w:rPr/>
              <w:t> </w:t>
            </w:r>
          </w:p>
        </w:tc>
      </w:tr>
      <w:tr>
        <w:trPr/>
        <w:tc>
          <w:tcPr>
            <w:tcW w:w="8285" w:type="dxa"/>
            <w:tcBorders/>
            <w:shd w:fill="auto" w:val="clear"/>
            <w:vAlign w:val="bottom"/>
          </w:tcPr>
          <w:p>
            <w:pPr>
              <w:pStyle w:val="TableContents"/>
              <w:spacing w:before="0" w:after="0"/>
              <w:jc w:val="left"/>
              <w:rPr>
                <w:sz w:val="20"/>
              </w:rPr>
            </w:pPr>
            <w:r>
              <w:rPr>
                <w:sz w:val="20"/>
              </w:rPr>
              <w:t>Restricted cash</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sz w:val="20"/>
              </w:rPr>
            </w:pPr>
            <w:r>
              <w:rPr>
                <w:sz w:val="20"/>
              </w:rPr>
              <w:t>1,361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8285" w:type="dxa"/>
            <w:tcBorders/>
            <w:shd w:fill="CCEEFF" w:val="clear"/>
            <w:vAlign w:val="bottom"/>
          </w:tcPr>
          <w:p>
            <w:pPr>
              <w:pStyle w:val="TableContents"/>
              <w:spacing w:before="0" w:after="0"/>
              <w:ind w:left="180" w:right="0" w:hanging="180"/>
              <w:jc w:val="left"/>
              <w:rPr>
                <w:sz w:val="20"/>
              </w:rPr>
            </w:pPr>
            <w:r>
              <w:rPr>
                <w:sz w:val="20"/>
              </w:rPr>
              <w:t>Total cash, cash equivalents and restricted cash presented in the consolidated statements of cash flows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6,795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sz w:val="20"/>
              </w:rPr>
            </w:pPr>
            <w:r>
              <w:rPr>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sz w:val="20"/>
              </w:rPr>
            </w:pPr>
            <w:r>
              <w:rPr>
                <w:sz w:val="20"/>
              </w:rPr>
              <w:t>12,586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Accounts Receivable and Allowance for Doubtful Accounts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Accounts receivable primarily relates to amounts due from customers, which are typically due within 30 to 90 days from invoice date. The Company provides credit to its customers in the normal course of business and maintains allowances for potential credit losses. The Company does not require collateral or other security for accounts receivable. 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 The Company writes off accounts receivable when they are considered uncollectible, and payments subsequently received on such receivables are credited to bad debt expense. The Company does not recognize interest accruing on accounts receivable past due.</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Inventories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pStyle w:val="TextBody"/>
        <w:spacing w:before="0" w:after="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whether for sale or for placement, is accumulated in inventory.</w:t>
      </w:r>
    </w:p>
    <w:p>
      <w:pPr>
        <w:pStyle w:val="TextBody"/>
        <w:spacing w:before="0" w:after="0"/>
        <w:jc w:val="left"/>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Reserves for slow-moving and obsolete inventories are provided based on historical experience and product demand. Management evaluates the adequacy of these reserves periodically based on forecasted sales and market trends.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Property and Equipment, net</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Property and equipment are recorded at cost less accumulated depreciation. Maintenance and repairs are charged to expense as incurred and costs of improvements and renewals are capitalized. Upon retirement or disposition, the applicable property and equipment amounts are deducted from the accounts and any gain or loss is recorded in the consolidated statements of operations. Depreciation and amortization are recognized using the straight-line method based on the estimated useful lives of the related assets. The Company uses an estimated useful life of three years for computers, hardware and software, five years for machinery and equipment and seven years for furniture and fixtures and the lesser of the useful life or lease term for leasehold improvements.</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Intangible Assets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Intangible assets consist of core technology, product technology, customer relationships, trademarks and distribution rights. Intangible assets are amortized over the period of estimated benefit using the straight-line method and estimated useful lives ranging from three to 12 years.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Goodwill</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Goodwill is the excess of the cost of an acquired entity over the net amounts assigned to tangible and intangible assets acquired and liabilities assumed. Goodwill is not amortized, but is subject to an annual impairment test. The Company has two reporting units and goodwill is allocated to the reporting units. </w:t>
      </w:r>
    </w:p>
    <w:p>
      <w:pPr>
        <w:pStyle w:val="TextBody"/>
        <w:spacing w:before="0" w:after="0"/>
        <w:ind w:left="0" w:right="0" w:hanging="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performs its goodwill impairment test on an annual basis in the fourth quarter of each fiscal year or more frequently if changes in circumstances or the occurrence of events suggest that an impairment exists. If the fair value of the reporting unit is less than its carrying value, an impairment loss is recorded to the extent that the implied fair value of the reporting unit’s goodwill is less than the carrying value of the reporting unit’s goodwill. The Company bypassed the qualitative assessment and did a quantitative assessment by comparing the fair value of a reporting unit with its carrying amount. The Company’s annual goodwill impairment test resulted in no impairment charges during the years ended December 31, 2022 and 2021.</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Impairment of Long-Lived Assets and Intangibles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reviews its long-lived assets and intangible assets subject to amortization for impairment whenever events or changes in circumstances indicate the carrying amount of an asset group may not be recoverable. Recoverability of assets held and used is measured by comparison of the carrying amount of an asset group to future net cash flows expected to be generated by the asset group. If such assets are considered to be impaired, the impairment to be recognized is measured by the amount by which the carrying amount of the asset group exceeds the fair value of the asset group, less costs to sell. The Company did not record any charges related to asset impairment during the years ended December 31, 2022 and 2021.</w:t>
      </w:r>
    </w:p>
    <w:p>
      <w:pPr>
        <w:pStyle w:val="TextBody"/>
        <w:spacing w:before="0" w:after="0"/>
        <w:jc w:val="left"/>
        <w:rPr>
          <w:color w:val="000000"/>
          <w:highlight w:val="white"/>
        </w:rPr>
      </w:pPr>
      <w:r>
        <w:rPr>
          <w:color w:val="000000"/>
          <w:highlight w:val="white"/>
        </w:rPr>
        <w:t xml:space="preserve">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Fair Value Measurements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measures financial assets and liabilities at fair value at each reporting period using a fair value hierarchy that requires the use of observable inputs and minimizes the use of unobservable inputs.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spacing w:before="0" w:after="0"/>
        <w:jc w:val="left"/>
        <w:rPr>
          <w:color w:val="000000"/>
          <w:highlight w:val="white"/>
        </w:rPr>
      </w:pPr>
      <w:r>
        <w:rPr>
          <w:color w:val="000000"/>
          <w:highlight w:val="white"/>
        </w:rPr>
        <w:t> </w:t>
      </w:r>
    </w:p>
    <w:tbl>
      <w:tblPr>
        <w:tblW w:w="7735" w:type="dxa"/>
        <w:jc w:val="left"/>
        <w:tblInd w:w="0" w:type="dxa"/>
        <w:tblCellMar>
          <w:top w:w="0" w:type="dxa"/>
          <w:left w:w="0" w:type="dxa"/>
          <w:bottom w:w="0" w:type="dxa"/>
          <w:right w:w="0" w:type="dxa"/>
        </w:tblCellMar>
      </w:tblPr>
      <w:tblGrid>
        <w:gridCol w:w="125"/>
        <w:gridCol w:w="7610"/>
      </w:tblGrid>
      <w:tr>
        <w:trPr/>
        <w:tc>
          <w:tcPr>
            <w:tcW w:w="125" w:type="dxa"/>
            <w:tcBorders/>
            <w:shd w:fill="auto" w:val="clear"/>
            <w:vAlign w:val="center"/>
          </w:tcPr>
          <w:p>
            <w:pPr>
              <w:pStyle w:val="TableContents"/>
              <w:spacing w:before="0" w:after="0"/>
              <w:ind w:left="360" w:right="0" w:hanging="0"/>
              <w:jc w:val="left"/>
              <w:rPr/>
            </w:pPr>
            <w:r>
              <w:rPr/>
              <w:t>•</w:t>
            </w:r>
          </w:p>
        </w:tc>
        <w:tc>
          <w:tcPr>
            <w:tcW w:w="7610" w:type="dxa"/>
            <w:tcBorders/>
            <w:shd w:fill="auto" w:val="clear"/>
            <w:vAlign w:val="center"/>
          </w:tcPr>
          <w:p>
            <w:pPr>
              <w:pStyle w:val="TableContents"/>
              <w:spacing w:before="0" w:after="0"/>
              <w:jc w:val="left"/>
              <w:rPr/>
            </w:pPr>
            <w:r>
              <w:rPr/>
              <w:t>Level 1 – quoted market prices in active markets for identical assets or liabilities.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360" w:right="0" w:hanging="0"/>
              <w:jc w:val="left"/>
              <w:rPr/>
            </w:pPr>
            <w:r>
              <w:rPr/>
              <w:t>•</w:t>
            </w:r>
          </w:p>
        </w:tc>
        <w:tc>
          <w:tcPr>
            <w:tcW w:w="10080" w:type="dxa"/>
            <w:tcBorders/>
            <w:shd w:fill="auto" w:val="clear"/>
            <w:vAlign w:val="center"/>
          </w:tcPr>
          <w:p>
            <w:pPr>
              <w:pStyle w:val="TableContents"/>
              <w:spacing w:before="0" w:after="0"/>
              <w:jc w:val="left"/>
              <w:rPr/>
            </w:pPr>
            <w:r>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ind w:left="360" w:right="0" w:hanging="0"/>
              <w:jc w:val="left"/>
              <w:rPr/>
            </w:pPr>
            <w:r>
              <w:rPr/>
              <w:t>•</w:t>
            </w:r>
          </w:p>
        </w:tc>
        <w:tc>
          <w:tcPr>
            <w:tcW w:w="10080" w:type="dxa"/>
            <w:tcBorders/>
            <w:shd w:fill="auto" w:val="clear"/>
            <w:vAlign w:val="center"/>
          </w:tcPr>
          <w:p>
            <w:pPr>
              <w:pStyle w:val="TableContents"/>
              <w:spacing w:before="0" w:after="0"/>
              <w:jc w:val="left"/>
              <w:rPr/>
            </w:pPr>
            <w:r>
              <w:rPr/>
              <w:t>Level 3 – inputs that are generally unobservable and typically reflect the Company’s estimate of assumptions that market participants would use in pricing the asset or liability.</w:t>
            </w:r>
          </w:p>
        </w:tc>
      </w:tr>
    </w:tbl>
    <w:p>
      <w:pPr>
        <w:pStyle w:val="TextBody"/>
        <w:spacing w:before="0" w:after="0"/>
        <w:jc w:val="left"/>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Accrued Warranty Costs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offers a standard warranty on product sales generally for a one to two-year period, however, the Company has offered longer warranty periods, ranging from three to four years, in order to meet competition or to meet customer demands. The Company provides for the estimated cost of the future warranty claims on the date the product is sold.</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jc w:val="left"/>
        <w:rPr>
          <w:rFonts w:ascii="Times New Roman" w:hAnsi="Times New Roman"/>
          <w:color w:val="000000"/>
          <w:sz w:val="20"/>
          <w:highlight w:val="white"/>
        </w:rPr>
      </w:pPr>
      <w:r>
        <w:rPr>
          <w:rFonts w:ascii="Times New Roman" w:hAnsi="Times New Roman"/>
          <w:b w:val="false"/>
          <w:i w:val="false"/>
          <w:caps w:val="false"/>
          <w:smallCaps w:val="false"/>
          <w:color w:val="000000"/>
          <w:sz w:val="20"/>
          <w:highlight w:val="white"/>
        </w:rPr>
        <w:t>The activity in the warranty accrual during the years ended December 31, 2022 and 2021 is summarized as follows (in thousands):</w:t>
      </w:r>
      <w:r>
        <w:rPr>
          <w:rFonts w:ascii="Times New Roman" w:hAnsi="Times New Roman"/>
          <w:color w:val="000000"/>
          <w:sz w:val="20"/>
          <w:highlight w:val="white"/>
        </w:rPr>
        <w:t xml:space="preserve"> </w:t>
      </w:r>
    </w:p>
    <w:p>
      <w:pPr>
        <w:pStyle w:val="TextBody"/>
        <w:spacing w:before="0" w:after="0"/>
        <w:jc w:val="left"/>
        <w:rPr/>
      </w:pPr>
      <w:r>
        <w:rPr/>
      </w:r>
    </w:p>
    <w:tbl>
      <w:tblPr>
        <w:tblW w:w="8442" w:type="dxa"/>
        <w:jc w:val="left"/>
        <w:tblInd w:w="0" w:type="dxa"/>
        <w:tblCellMar>
          <w:top w:w="0" w:type="dxa"/>
          <w:left w:w="0" w:type="dxa"/>
          <w:bottom w:w="0" w:type="dxa"/>
          <w:right w:w="0" w:type="dxa"/>
        </w:tblCellMar>
      </w:tblPr>
      <w:tblGrid>
        <w:gridCol w:w="6860"/>
        <w:gridCol w:w="60"/>
        <w:gridCol w:w="147"/>
        <w:gridCol w:w="478"/>
        <w:gridCol w:w="99"/>
        <w:gridCol w:w="63"/>
        <w:gridCol w:w="147"/>
        <w:gridCol w:w="478"/>
        <w:gridCol w:w="110"/>
      </w:tblGrid>
      <w:tr>
        <w:trPr/>
        <w:tc>
          <w:tcPr>
            <w:tcW w:w="6860"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jc w:val="center"/>
              <w:rPr/>
            </w:pPr>
            <w:r>
              <w:rPr/>
              <w:t> </w:t>
            </w:r>
          </w:p>
        </w:tc>
        <w:tc>
          <w:tcPr>
            <w:tcW w:w="1412"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68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9"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center"/>
              <w:rPr/>
            </w:pPr>
            <w:r>
              <w:rPr/>
              <w:t> </w:t>
            </w:r>
          </w:p>
        </w:tc>
        <w:tc>
          <w:tcPr>
            <w:tcW w:w="62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6860" w:type="dxa"/>
            <w:tcBorders/>
            <w:shd w:fill="CCEEFF" w:val="clear"/>
            <w:vAlign w:val="bottom"/>
          </w:tcPr>
          <w:p>
            <w:pPr>
              <w:pStyle w:val="TableContents"/>
              <w:spacing w:before="0" w:after="0"/>
              <w:jc w:val="left"/>
              <w:rPr/>
            </w:pPr>
            <w:r>
              <w:rPr/>
              <w:t>Balance, beginning of year</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0"/>
              <w:jc w:val="left"/>
              <w:rPr/>
            </w:pPr>
            <w:r>
              <w:rPr/>
              <w:t>$</w:t>
            </w:r>
          </w:p>
        </w:tc>
        <w:tc>
          <w:tcPr>
            <w:tcW w:w="478" w:type="dxa"/>
            <w:tcBorders/>
            <w:shd w:fill="CCEEFF" w:val="clear"/>
            <w:vAlign w:val="bottom"/>
          </w:tcPr>
          <w:p>
            <w:pPr>
              <w:pStyle w:val="TableContents"/>
              <w:spacing w:before="0" w:after="0"/>
              <w:jc w:val="right"/>
              <w:rPr/>
            </w:pPr>
            <w:r>
              <w:rPr/>
              <w:t>79</w:t>
            </w:r>
          </w:p>
        </w:tc>
        <w:tc>
          <w:tcPr>
            <w:tcW w:w="99" w:type="dxa"/>
            <w:tcBorders/>
            <w:shd w:fill="CCEEFF" w:val="clear"/>
            <w:vAlign w:val="center"/>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0"/>
              <w:jc w:val="left"/>
              <w:rPr/>
            </w:pPr>
            <w:r>
              <w:rPr/>
              <w:t>$</w:t>
            </w:r>
          </w:p>
        </w:tc>
        <w:tc>
          <w:tcPr>
            <w:tcW w:w="478" w:type="dxa"/>
            <w:tcBorders/>
            <w:shd w:fill="CCEEFF" w:val="clear"/>
            <w:vAlign w:val="bottom"/>
          </w:tcPr>
          <w:p>
            <w:pPr>
              <w:pStyle w:val="TableContents"/>
              <w:spacing w:before="0" w:after="0"/>
              <w:jc w:val="right"/>
              <w:rPr/>
            </w:pPr>
            <w:r>
              <w:rPr/>
              <w:t>113</w:t>
            </w:r>
          </w:p>
        </w:tc>
        <w:tc>
          <w:tcPr>
            <w:tcW w:w="110" w:type="dxa"/>
            <w:tcBorders/>
            <w:shd w:fill="CCEEFF" w:val="clear"/>
            <w:vAlign w:val="center"/>
          </w:tcPr>
          <w:p>
            <w:pPr>
              <w:pStyle w:val="TableContents"/>
              <w:spacing w:before="0" w:after="283"/>
              <w:jc w:val="left"/>
              <w:rPr/>
            </w:pPr>
            <w:r>
              <w:rPr/>
              <w:t> </w:t>
            </w:r>
          </w:p>
        </w:tc>
      </w:tr>
      <w:tr>
        <w:trPr/>
        <w:tc>
          <w:tcPr>
            <w:tcW w:w="6860" w:type="dxa"/>
            <w:tcBorders/>
            <w:shd w:fill="auto" w:val="clear"/>
            <w:vAlign w:val="bottom"/>
          </w:tcPr>
          <w:p>
            <w:pPr>
              <w:pStyle w:val="TableContents"/>
              <w:spacing w:before="0" w:after="0"/>
              <w:jc w:val="left"/>
              <w:rPr/>
            </w:pPr>
            <w:r>
              <w:rPr/>
              <w:t>Additions</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478" w:type="dxa"/>
            <w:tcBorders/>
            <w:shd w:fill="auto" w:val="clear"/>
            <w:vAlign w:val="bottom"/>
          </w:tcPr>
          <w:p>
            <w:pPr>
              <w:pStyle w:val="TableContents"/>
              <w:spacing w:before="0" w:after="0"/>
              <w:jc w:val="right"/>
              <w:rPr/>
            </w:pPr>
            <w:r>
              <w:rPr/>
              <w:t>246</w:t>
            </w:r>
          </w:p>
        </w:tc>
        <w:tc>
          <w:tcPr>
            <w:tcW w:w="99" w:type="dxa"/>
            <w:tcBorders/>
            <w:shd w:fill="auto" w:val="clear"/>
            <w:vAlign w:val="center"/>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478" w:type="dxa"/>
            <w:tcBorders/>
            <w:shd w:fill="auto" w:val="clear"/>
            <w:vAlign w:val="bottom"/>
          </w:tcPr>
          <w:p>
            <w:pPr>
              <w:pStyle w:val="TableContents"/>
              <w:spacing w:before="0" w:after="0"/>
              <w:jc w:val="right"/>
              <w:rPr/>
            </w:pPr>
            <w:r>
              <w:rPr/>
              <w:t>71</w:t>
            </w:r>
          </w:p>
        </w:tc>
        <w:tc>
          <w:tcPr>
            <w:tcW w:w="110" w:type="dxa"/>
            <w:tcBorders/>
            <w:shd w:fill="auto" w:val="clear"/>
            <w:vAlign w:val="center"/>
          </w:tcPr>
          <w:p>
            <w:pPr>
              <w:pStyle w:val="TableContents"/>
              <w:spacing w:before="0" w:after="283"/>
              <w:jc w:val="left"/>
              <w:rPr/>
            </w:pPr>
            <w:r>
              <w:rPr/>
              <w:t> </w:t>
            </w:r>
          </w:p>
        </w:tc>
      </w:tr>
      <w:tr>
        <w:trPr/>
        <w:tc>
          <w:tcPr>
            <w:tcW w:w="6860" w:type="dxa"/>
            <w:tcBorders/>
            <w:shd w:fill="CCEEFF" w:val="clear"/>
            <w:vAlign w:val="bottom"/>
          </w:tcPr>
          <w:p>
            <w:pPr>
              <w:pStyle w:val="TableContents"/>
              <w:spacing w:before="0" w:after="0"/>
              <w:jc w:val="left"/>
              <w:rPr/>
            </w:pPr>
            <w:r>
              <w:rPr/>
              <w:t>Expirations and claims satisfied</w:t>
            </w:r>
          </w:p>
        </w:tc>
        <w:tc>
          <w:tcPr>
            <w:tcW w:w="60"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spacing w:before="0" w:after="0"/>
              <w:jc w:val="right"/>
              <w:rPr/>
            </w:pPr>
            <w:r>
              <w:rPr/>
              <w:t>(118</w:t>
            </w:r>
          </w:p>
        </w:tc>
        <w:tc>
          <w:tcPr>
            <w:tcW w:w="99" w:type="dxa"/>
            <w:tcBorders/>
            <w:shd w:fill="CCEEFF" w:val="clear"/>
            <w:vAlign w:val="center"/>
          </w:tcPr>
          <w:p>
            <w:pPr>
              <w:pStyle w:val="TableContents"/>
              <w:spacing w:before="0" w:after="0"/>
              <w:jc w:val="left"/>
              <w:rPr/>
            </w:pPr>
            <w:r>
              <w:rPr/>
              <w:t>)</w:t>
            </w:r>
          </w:p>
        </w:tc>
        <w:tc>
          <w:tcPr>
            <w:tcW w:w="63"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spacing w:before="0" w:after="0"/>
              <w:jc w:val="right"/>
              <w:rPr/>
            </w:pPr>
            <w:r>
              <w:rPr/>
              <w:t>(105</w:t>
            </w:r>
          </w:p>
        </w:tc>
        <w:tc>
          <w:tcPr>
            <w:tcW w:w="110" w:type="dxa"/>
            <w:tcBorders/>
            <w:shd w:fill="CCEEFF" w:val="clear"/>
            <w:vAlign w:val="center"/>
          </w:tcPr>
          <w:p>
            <w:pPr>
              <w:pStyle w:val="TableContents"/>
              <w:spacing w:before="0" w:after="0"/>
              <w:jc w:val="left"/>
              <w:rPr/>
            </w:pPr>
            <w:r>
              <w:rPr/>
              <w:t>)</w:t>
            </w:r>
          </w:p>
        </w:tc>
      </w:tr>
      <w:tr>
        <w:trPr/>
        <w:tc>
          <w:tcPr>
            <w:tcW w:w="6860" w:type="dxa"/>
            <w:tcBorders/>
            <w:shd w:fill="auto" w:val="clear"/>
            <w:vAlign w:val="bottom"/>
          </w:tcPr>
          <w:p>
            <w:pPr>
              <w:pStyle w:val="TableContents"/>
              <w:spacing w:before="0" w:after="0"/>
              <w:jc w:val="left"/>
              <w:rPr/>
            </w:pPr>
            <w:r>
              <w:rPr/>
              <w:t>Total</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478" w:type="dxa"/>
            <w:tcBorders/>
            <w:shd w:fill="auto" w:val="clear"/>
            <w:vAlign w:val="bottom"/>
          </w:tcPr>
          <w:p>
            <w:pPr>
              <w:pStyle w:val="TableContents"/>
              <w:spacing w:before="0" w:after="0"/>
              <w:jc w:val="right"/>
              <w:rPr/>
            </w:pPr>
            <w:r>
              <w:rPr/>
              <w:t>207</w:t>
            </w:r>
          </w:p>
        </w:tc>
        <w:tc>
          <w:tcPr>
            <w:tcW w:w="99" w:type="dxa"/>
            <w:tcBorders/>
            <w:shd w:fill="auto" w:val="clear"/>
            <w:vAlign w:val="center"/>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478" w:type="dxa"/>
            <w:tcBorders/>
            <w:shd w:fill="auto" w:val="clear"/>
            <w:vAlign w:val="bottom"/>
          </w:tcPr>
          <w:p>
            <w:pPr>
              <w:pStyle w:val="TableContents"/>
              <w:spacing w:before="0" w:after="0"/>
              <w:jc w:val="right"/>
              <w:rPr/>
            </w:pPr>
            <w:r>
              <w:rPr/>
              <w:t>79</w:t>
            </w:r>
          </w:p>
        </w:tc>
        <w:tc>
          <w:tcPr>
            <w:tcW w:w="110" w:type="dxa"/>
            <w:tcBorders/>
            <w:shd w:fill="auto" w:val="clear"/>
            <w:vAlign w:val="center"/>
          </w:tcPr>
          <w:p>
            <w:pPr>
              <w:pStyle w:val="TableContents"/>
              <w:spacing w:before="0" w:after="283"/>
              <w:jc w:val="left"/>
              <w:rPr/>
            </w:pPr>
            <w:r>
              <w:rPr/>
              <w:t> </w:t>
            </w:r>
          </w:p>
        </w:tc>
      </w:tr>
      <w:tr>
        <w:trPr/>
        <w:tc>
          <w:tcPr>
            <w:tcW w:w="6860" w:type="dxa"/>
            <w:tcBorders/>
            <w:shd w:fill="CCEEFF" w:val="clear"/>
            <w:vAlign w:val="bottom"/>
          </w:tcPr>
          <w:p>
            <w:pPr>
              <w:pStyle w:val="TableContents"/>
              <w:spacing w:before="0" w:after="0"/>
              <w:ind w:left="180" w:right="0" w:hanging="180"/>
              <w:jc w:val="left"/>
              <w:rPr/>
            </w:pPr>
            <w:r>
              <w:rPr/>
              <w:t>Less current portion within accrued expenses and other current liabilities</w:t>
            </w:r>
          </w:p>
        </w:tc>
        <w:tc>
          <w:tcPr>
            <w:tcW w:w="60"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spacing w:before="0" w:after="0"/>
              <w:jc w:val="right"/>
              <w:rPr/>
            </w:pPr>
            <w:r>
              <w:rPr/>
              <w:t>(136</w:t>
            </w:r>
          </w:p>
        </w:tc>
        <w:tc>
          <w:tcPr>
            <w:tcW w:w="99" w:type="dxa"/>
            <w:tcBorders/>
            <w:shd w:fill="CCEEFF" w:val="clear"/>
            <w:vAlign w:val="center"/>
          </w:tcPr>
          <w:p>
            <w:pPr>
              <w:pStyle w:val="TableContents"/>
              <w:spacing w:before="0" w:after="0"/>
              <w:jc w:val="left"/>
              <w:rPr/>
            </w:pPr>
            <w:r>
              <w:rPr/>
              <w:t>)</w:t>
            </w:r>
          </w:p>
        </w:tc>
        <w:tc>
          <w:tcPr>
            <w:tcW w:w="63"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78" w:type="dxa"/>
            <w:tcBorders>
              <w:bottom w:val="single" w:sz="12" w:space="0" w:color="000000"/>
            </w:tcBorders>
            <w:shd w:fill="CCEEFF" w:val="clear"/>
            <w:tcMar>
              <w:bottom w:w="28" w:type="dxa"/>
            </w:tcMar>
            <w:vAlign w:val="bottom"/>
          </w:tcPr>
          <w:p>
            <w:pPr>
              <w:pStyle w:val="TableContents"/>
              <w:spacing w:before="0" w:after="0"/>
              <w:jc w:val="right"/>
              <w:rPr/>
            </w:pPr>
            <w:r>
              <w:rPr/>
              <w:t>(59</w:t>
            </w:r>
          </w:p>
        </w:tc>
        <w:tc>
          <w:tcPr>
            <w:tcW w:w="110" w:type="dxa"/>
            <w:tcBorders/>
            <w:shd w:fill="CCEEFF" w:val="clear"/>
            <w:vAlign w:val="center"/>
          </w:tcPr>
          <w:p>
            <w:pPr>
              <w:pStyle w:val="TableContents"/>
              <w:spacing w:before="0" w:after="0"/>
              <w:jc w:val="left"/>
              <w:rPr/>
            </w:pPr>
            <w:r>
              <w:rPr/>
              <w:t>)</w:t>
            </w:r>
          </w:p>
        </w:tc>
      </w:tr>
      <w:tr>
        <w:trPr/>
        <w:tc>
          <w:tcPr>
            <w:tcW w:w="6860" w:type="dxa"/>
            <w:tcBorders/>
            <w:shd w:fill="auto" w:val="clear"/>
            <w:vAlign w:val="bottom"/>
          </w:tcPr>
          <w:p>
            <w:pPr>
              <w:pStyle w:val="TableContents"/>
              <w:spacing w:before="0" w:after="0"/>
              <w:jc w:val="left"/>
              <w:rPr/>
            </w:pPr>
            <w:r>
              <w:rPr/>
              <w:t>Balance within deferred revenues and other liabilities</w:t>
            </w:r>
          </w:p>
        </w:tc>
        <w:tc>
          <w:tcPr>
            <w:tcW w:w="60" w:type="dxa"/>
            <w:tcBorders/>
            <w:shd w:fill="auto" w:val="clear"/>
            <w:vAlign w:val="bottom"/>
          </w:tcPr>
          <w:p>
            <w:pPr>
              <w:pStyle w:val="TableContents"/>
              <w:spacing w:before="0" w:after="283"/>
              <w:jc w:val="right"/>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478" w:type="dxa"/>
            <w:tcBorders>
              <w:bottom w:val="double" w:sz="8" w:space="0" w:color="000000"/>
            </w:tcBorders>
            <w:shd w:fill="auto" w:val="clear"/>
            <w:tcMar>
              <w:bottom w:w="28" w:type="dxa"/>
            </w:tcMar>
            <w:vAlign w:val="bottom"/>
          </w:tcPr>
          <w:p>
            <w:pPr>
              <w:pStyle w:val="TableContents"/>
              <w:spacing w:before="0" w:after="0"/>
              <w:jc w:val="right"/>
              <w:rPr/>
            </w:pPr>
            <w:r>
              <w:rPr/>
              <w:t>71</w:t>
            </w:r>
          </w:p>
        </w:tc>
        <w:tc>
          <w:tcPr>
            <w:tcW w:w="99" w:type="dxa"/>
            <w:tcBorders/>
            <w:shd w:fill="auto" w:val="clear"/>
            <w:vAlign w:val="center"/>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478" w:type="dxa"/>
            <w:tcBorders>
              <w:bottom w:val="double" w:sz="8" w:space="0" w:color="000000"/>
            </w:tcBorders>
            <w:shd w:fill="auto" w:val="clear"/>
            <w:tcMar>
              <w:bottom w:w="28" w:type="dxa"/>
            </w:tcMar>
            <w:vAlign w:val="bottom"/>
          </w:tcPr>
          <w:p>
            <w:pPr>
              <w:pStyle w:val="TableContents"/>
              <w:spacing w:before="0" w:after="0"/>
              <w:jc w:val="right"/>
              <w:rPr/>
            </w:pPr>
            <w:r>
              <w:rPr/>
              <w:t>20</w:t>
            </w:r>
          </w:p>
        </w:tc>
        <w:tc>
          <w:tcPr>
            <w:tcW w:w="110" w:type="dxa"/>
            <w:tcBorders/>
            <w:shd w:fill="auto" w:val="clear"/>
            <w:vAlign w:val="center"/>
          </w:tcPr>
          <w:p>
            <w:pPr>
              <w:pStyle w:val="TableContents"/>
              <w:spacing w:before="0" w:after="283"/>
              <w:jc w:val="left"/>
              <w:rPr/>
            </w:pPr>
            <w:r>
              <w:rPr/>
              <w:t> </w:t>
            </w:r>
          </w:p>
        </w:tc>
      </w:tr>
    </w:tbl>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color w:val="000000"/>
          <w:sz w:val="20"/>
          <w:highlight w:val="white"/>
        </w:rPr>
      </w:pPr>
      <w:r>
        <w:rPr>
          <w:rFonts w:ascii="Times New Roman" w:hAnsi="Times New Roman"/>
          <w:b/>
          <w:color w:val="000000"/>
          <w:sz w:val="20"/>
          <w:highlight w:val="white"/>
        </w:rPr>
        <w:t>Debt Issuance Costs</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consolidated balance sheets.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highlight w:val="white"/>
        </w:rPr>
      </w:pPr>
      <w:r>
        <w:rPr>
          <w:rFonts w:ascii="Times New Roman" w:hAnsi="Times New Roman"/>
          <w:b/>
          <w:color w:val="000000"/>
          <w:sz w:val="20"/>
          <w:highlight w:val="white"/>
        </w:rPr>
        <w:t>Revenue Recognition</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Revenues from the Company’s dermatology recurring procedures customers are earned by providing physicians with its laser products and charging the physicians a fee for a fixed number of treatment sessions or a fixed fee for a specified period of time not to exceed an agreed upon number of treatments; if that number is exceeded additional fees will have to be paid. The placement of the laser products at physician locations represents embedded leases which are accounted for as operating leases. For the lasers placed-in service under these arrangements, the terms of the domestic arrangements are generally 36 months with automatic one-year renewals and include a termination clause that can be effected at any time by either party with 30 to 60 day notice. Amounts paid are generally non-refundable. Sales of access codes for a fixed number of treatment sessions are considered variable treatment code payments and are recognized as revenue over the estimated usage period of the agreed upon number of treatments. Sales of access codes for a specified period of time are recognized as revenue on a straight-line basis as the lasers are being used over the term period specified in the agreement. Variable treatment code payments that will be paid only if the customer exceeds the agreed upon number of treatments are recognized only when such treatments are being exceeded and used. Internationally, the Company generally sells access codes for a fixed amount on a monthly basis to its distributors and the terms are generally 48 months, with termination in the event of the customers’ failure to remit payments timely, and include a potential buy-out at the end of the term of the contract. Currently, this is the only foreign recurring revenue. Prepaid amounts recorded in deferred revenue and customer deposits recorded in accounts payable are recognized as revenue over the lease term in the patterns described above. Pricing is fixed with the customer. With respect to lease and non-lease components, the Company adopted the practical expedient to account for the arrangement as a single lease component.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Revenues from the Company’s dermatology procedures equipment are recognized when control of the promised goods or services is transferred to its customers or distributors, in an amount that reflects the consideration to which it expects to be entitled in exchange for those goods or services. Accordingly, the Company determines revenue recognition through the following steps: </w:t>
      </w:r>
    </w:p>
    <w:p>
      <w:pPr>
        <w:pStyle w:val="TextBody"/>
        <w:spacing w:before="0" w:after="0"/>
        <w:jc w:val="left"/>
        <w:rPr>
          <w:rFonts w:ascii="Times New Roman" w:hAnsi="Times New Roman"/>
          <w:sz w:val="20"/>
        </w:rPr>
      </w:pPr>
      <w:r>
        <w:rPr>
          <w:rFonts w:ascii="Times New Roman" w:hAnsi="Times New Roman"/>
          <w:sz w:val="20"/>
        </w:rPr>
      </w:r>
    </w:p>
    <w:tbl>
      <w:tblPr>
        <w:tblW w:w="4968" w:type="dxa"/>
        <w:jc w:val="left"/>
        <w:tblInd w:w="0" w:type="dxa"/>
        <w:tblCellMar>
          <w:top w:w="0" w:type="dxa"/>
          <w:left w:w="0" w:type="dxa"/>
          <w:bottom w:w="0" w:type="dxa"/>
          <w:right w:w="0" w:type="dxa"/>
        </w:tblCellMar>
      </w:tblPr>
      <w:tblGrid>
        <w:gridCol w:w="38"/>
        <w:gridCol w:w="110"/>
        <w:gridCol w:w="48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jc w:val="left"/>
              <w:rPr>
                <w:color w:val="000000"/>
              </w:rPr>
            </w:pPr>
            <w:r>
              <w:rPr>
                <w:color w:val="000000"/>
              </w:rPr>
              <w:t>•</w:t>
            </w:r>
          </w:p>
        </w:tc>
        <w:tc>
          <w:tcPr>
            <w:tcW w:w="482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identification of the contract, or contracts, with a customer;</w:t>
            </w:r>
          </w:p>
        </w:tc>
      </w:tr>
    </w:tbl>
    <w:tbl>
      <w:tblPr>
        <w:tblW w:w="5103" w:type="dxa"/>
        <w:jc w:val="left"/>
        <w:tblInd w:w="0" w:type="dxa"/>
        <w:tblCellMar>
          <w:top w:w="0" w:type="dxa"/>
          <w:left w:w="0" w:type="dxa"/>
          <w:bottom w:w="0" w:type="dxa"/>
          <w:right w:w="0" w:type="dxa"/>
        </w:tblCellMar>
      </w:tblPr>
      <w:tblGrid>
        <w:gridCol w:w="38"/>
        <w:gridCol w:w="110"/>
        <w:gridCol w:w="49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jc w:val="left"/>
              <w:rPr>
                <w:color w:val="000000"/>
              </w:rPr>
            </w:pPr>
            <w:r>
              <w:rPr>
                <w:color w:val="000000"/>
              </w:rPr>
              <w:t>•</w:t>
            </w:r>
          </w:p>
        </w:tc>
        <w:tc>
          <w:tcPr>
            <w:tcW w:w="495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identification of the performance obligations in the contract;</w:t>
            </w:r>
          </w:p>
        </w:tc>
      </w:tr>
    </w:tbl>
    <w:tbl>
      <w:tblPr>
        <w:tblW w:w="3288" w:type="dxa"/>
        <w:jc w:val="left"/>
        <w:tblInd w:w="0" w:type="dxa"/>
        <w:tblCellMar>
          <w:top w:w="0" w:type="dxa"/>
          <w:left w:w="0" w:type="dxa"/>
          <w:bottom w:w="0" w:type="dxa"/>
          <w:right w:w="0" w:type="dxa"/>
        </w:tblCellMar>
      </w:tblPr>
      <w:tblGrid>
        <w:gridCol w:w="38"/>
        <w:gridCol w:w="110"/>
        <w:gridCol w:w="31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jc w:val="left"/>
              <w:rPr>
                <w:color w:val="000000"/>
              </w:rPr>
            </w:pPr>
            <w:r>
              <w:rPr>
                <w:color w:val="000000"/>
              </w:rPr>
              <w:t>•</w:t>
            </w:r>
          </w:p>
        </w:tc>
        <w:tc>
          <w:tcPr>
            <w:tcW w:w="314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determination of the transaction price;</w:t>
            </w:r>
          </w:p>
        </w:tc>
      </w:tr>
    </w:tbl>
    <w:tbl>
      <w:tblPr>
        <w:tblW w:w="7068" w:type="dxa"/>
        <w:jc w:val="left"/>
        <w:tblInd w:w="0" w:type="dxa"/>
        <w:tblCellMar>
          <w:top w:w="0" w:type="dxa"/>
          <w:left w:w="0" w:type="dxa"/>
          <w:bottom w:w="0" w:type="dxa"/>
          <w:right w:w="0" w:type="dxa"/>
        </w:tblCellMar>
      </w:tblPr>
      <w:tblGrid>
        <w:gridCol w:w="38"/>
        <w:gridCol w:w="110"/>
        <w:gridCol w:w="69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jc w:val="left"/>
              <w:rPr>
                <w:color w:val="000000"/>
              </w:rPr>
            </w:pPr>
            <w:r>
              <w:rPr>
                <w:color w:val="000000"/>
              </w:rPr>
              <w:t>•</w:t>
            </w:r>
          </w:p>
        </w:tc>
        <w:tc>
          <w:tcPr>
            <w:tcW w:w="692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tc>
      </w:tr>
    </w:tbl>
    <w:tbl>
      <w:tblPr>
        <w:tblW w:w="6093" w:type="dxa"/>
        <w:jc w:val="left"/>
        <w:tblInd w:w="0" w:type="dxa"/>
        <w:tblCellMar>
          <w:top w:w="0" w:type="dxa"/>
          <w:left w:w="0" w:type="dxa"/>
          <w:bottom w:w="0" w:type="dxa"/>
          <w:right w:w="0" w:type="dxa"/>
        </w:tblCellMar>
      </w:tblPr>
      <w:tblGrid>
        <w:gridCol w:w="38"/>
        <w:gridCol w:w="110"/>
        <w:gridCol w:w="59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jc w:val="left"/>
              <w:rPr>
                <w:color w:val="000000"/>
              </w:rPr>
            </w:pPr>
            <w:r>
              <w:rPr>
                <w:color w:val="000000"/>
              </w:rPr>
              <w:t>•</w:t>
            </w:r>
          </w:p>
        </w:tc>
        <w:tc>
          <w:tcPr>
            <w:tcW w:w="59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recognition of revenue when, or as, performance obligations are satisfied.</w:t>
            </w:r>
          </w:p>
        </w:tc>
      </w:tr>
    </w:tbl>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pStyle w:val="TextBody"/>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jc w:val="left"/>
        <w:rPr/>
      </w:pPr>
      <w:r>
        <w:rPr/>
      </w:r>
    </w:p>
    <w:p>
      <w:pPr>
        <w:pStyle w:val="TextBody"/>
        <w:spacing w:before="0" w:after="0"/>
        <w:ind w:left="0" w:right="0" w:firstLine="720"/>
        <w:jc w:val="left"/>
        <w:rPr>
          <w:rFonts w:ascii="Times New Roman" w:hAnsi="Times New Roman"/>
          <w:b/>
          <w:i/>
          <w:color w:val="000000"/>
          <w:sz w:val="20"/>
          <w:highlight w:val="white"/>
        </w:rPr>
      </w:pPr>
      <w:r>
        <w:rPr>
          <w:rFonts w:ascii="Times New Roman" w:hAnsi="Times New Roman"/>
          <w:b w:val="false"/>
          <w:i w:val="false"/>
          <w:caps w:val="false"/>
          <w:smallCaps w:val="false"/>
          <w:color w:val="000000"/>
          <w:sz w:val="20"/>
          <w:highlight w:val="white"/>
        </w:rPr>
        <w:t>Revenues from dermatology procedures equipment are recognized when control of the promised products is transferred to either the Company’s</w:t>
      </w:r>
      <w:r>
        <w:rPr>
          <w:rFonts w:ascii="Times New Roman" w:hAnsi="Times New Roman"/>
          <w:b/>
          <w:i/>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presents the Company’s net revenues disaggregated by dermatology recurring procedures and dermatology procedures equipment (in thousands):</w:t>
      </w:r>
    </w:p>
    <w:p>
      <w:pPr>
        <w:pStyle w:val="TextBody"/>
        <w:spacing w:before="0" w:after="0"/>
        <w:jc w:val="left"/>
        <w:rPr>
          <w:rFonts w:ascii="Times New Roman" w:hAnsi="Times New Roman"/>
          <w:b/>
          <w:i/>
          <w:sz w:val="20"/>
        </w:rPr>
      </w:pPr>
      <w:r>
        <w:rPr>
          <w:rFonts w:ascii="Times New Roman" w:hAnsi="Times New Roman"/>
          <w:b/>
          <w:i/>
          <w:sz w:val="20"/>
        </w:rPr>
      </w:r>
    </w:p>
    <w:tbl>
      <w:tblPr>
        <w:tblW w:w="4630" w:type="dxa"/>
        <w:jc w:val="left"/>
        <w:tblInd w:w="0" w:type="dxa"/>
        <w:tblCellMar>
          <w:top w:w="0" w:type="dxa"/>
          <w:left w:w="0" w:type="dxa"/>
          <w:bottom w:w="0" w:type="dxa"/>
          <w:right w:w="0" w:type="dxa"/>
        </w:tblCellMar>
      </w:tblPr>
      <w:tblGrid>
        <w:gridCol w:w="2945"/>
        <w:gridCol w:w="60"/>
        <w:gridCol w:w="125"/>
        <w:gridCol w:w="590"/>
        <w:gridCol w:w="60"/>
        <w:gridCol w:w="60"/>
        <w:gridCol w:w="125"/>
        <w:gridCol w:w="590"/>
        <w:gridCol w:w="75"/>
      </w:tblGrid>
      <w:tr>
        <w:trPr/>
        <w:tc>
          <w:tcPr>
            <w:tcW w:w="29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50" w:type="dxa"/>
            <w:gridSpan w:val="6"/>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 xml:space="preserve">Year Ended </w:t>
            </w:r>
          </w:p>
          <w:p>
            <w:pPr>
              <w:pStyle w:val="TableContents"/>
              <w:spacing w:before="0" w:after="0"/>
              <w:jc w:val="center"/>
              <w:rPr>
                <w:rFonts w:ascii="Times New Roman" w:hAnsi="Times New Roman"/>
                <w:b/>
                <w:sz w:val="20"/>
              </w:rPr>
            </w:pPr>
            <w:r>
              <w:rPr>
                <w:rFonts w:ascii="Times New Roman" w:hAnsi="Times New Roman"/>
                <w:b/>
                <w:sz w:val="20"/>
              </w:rPr>
              <w:t>December 31,</w:t>
            </w:r>
          </w:p>
        </w:tc>
        <w:tc>
          <w:tcPr>
            <w:tcW w:w="75" w:type="dxa"/>
            <w:tcBorders/>
            <w:shd w:fill="auto"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2021</w:t>
            </w:r>
          </w:p>
        </w:tc>
        <w:tc>
          <w:tcPr>
            <w:tcW w:w="7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Dermatology recurring procedures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23,025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22,528</w:t>
            </w:r>
          </w:p>
        </w:tc>
        <w:tc>
          <w:tcPr>
            <w:tcW w:w="7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Dermatology procedures equipment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13,136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7,449</w:t>
            </w:r>
          </w:p>
        </w:tc>
        <w:tc>
          <w:tcPr>
            <w:tcW w:w="7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Total net revenues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36,161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29,977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summarizes the Company’s expected future undiscounted fixed treatment code payments from dermatology recurring procedures (in thousands):</w:t>
      </w:r>
    </w:p>
    <w:p>
      <w:pPr>
        <w:pStyle w:val="TextBody"/>
        <w:spacing w:before="0" w:after="0"/>
        <w:jc w:val="left"/>
        <w:rPr>
          <w:rFonts w:ascii="Times New Roman" w:hAnsi="Times New Roman"/>
          <w:b/>
          <w:i/>
          <w:sz w:val="20"/>
        </w:rPr>
      </w:pPr>
      <w:r>
        <w:rPr>
          <w:rFonts w:ascii="Times New Roman" w:hAnsi="Times New Roman"/>
          <w:b/>
          <w:i/>
          <w:sz w:val="20"/>
        </w:rPr>
      </w:r>
    </w:p>
    <w:tbl>
      <w:tblPr>
        <w:tblW w:w="3015" w:type="dxa"/>
        <w:jc w:val="left"/>
        <w:tblInd w:w="0" w:type="dxa"/>
        <w:tblCellMar>
          <w:top w:w="0" w:type="dxa"/>
          <w:left w:w="0" w:type="dxa"/>
          <w:bottom w:w="0" w:type="dxa"/>
          <w:right w:w="0" w:type="dxa"/>
        </w:tblCellMar>
      </w:tblPr>
      <w:tblGrid>
        <w:gridCol w:w="2270"/>
        <w:gridCol w:w="60"/>
        <w:gridCol w:w="125"/>
        <w:gridCol w:w="485"/>
        <w:gridCol w:w="75"/>
      </w:tblGrid>
      <w:tr>
        <w:trPr/>
        <w:tc>
          <w:tcPr>
            <w:tcW w:w="227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Years ending December 31:</w:t>
            </w:r>
          </w:p>
        </w:tc>
        <w:tc>
          <w:tcPr>
            <w:tcW w:w="60" w:type="dxa"/>
            <w:tcBorders/>
            <w:shd w:fill="auto" w:val="clear"/>
            <w:vAlign w:val="bottom"/>
          </w:tcPr>
          <w:p>
            <w:pPr>
              <w:pStyle w:val="TableContents"/>
              <w:spacing w:before="0" w:after="283"/>
              <w:jc w:val="left"/>
              <w:rPr/>
            </w:pPr>
            <w:r>
              <w:rPr/>
              <w:t> </w:t>
            </w:r>
          </w:p>
        </w:tc>
        <w:tc>
          <w:tcPr>
            <w:tcW w:w="610" w:type="dxa"/>
            <w:gridSpan w:val="2"/>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1,207</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2024</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975</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384</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2026</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166</w:t>
            </w:r>
          </w:p>
        </w:tc>
        <w:tc>
          <w:tcPr>
            <w:tcW w:w="75" w:type="dxa"/>
            <w:tcBorders/>
            <w:shd w:fill="auto" w:val="clear"/>
            <w:vAlign w:val="bottom"/>
          </w:tcPr>
          <w:p>
            <w:pPr>
              <w:pStyle w:val="TableContents"/>
              <w:spacing w:before="0" w:after="283"/>
              <w:jc w:val="left"/>
              <w:rPr/>
            </w:pPr>
            <w:r>
              <w:rPr/>
              <w:t> </w:t>
            </w:r>
          </w:p>
        </w:tc>
      </w:tr>
      <w:tr>
        <w:trPr/>
        <w:tc>
          <w:tcPr>
            <w:tcW w:w="227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2027</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w:t>
            </w:r>
          </w:p>
        </w:tc>
        <w:tc>
          <w:tcPr>
            <w:tcW w:w="75" w:type="dxa"/>
            <w:tcBorders/>
            <w:shd w:fill="CCEEFF" w:val="clear"/>
            <w:vAlign w:val="bottom"/>
          </w:tcPr>
          <w:p>
            <w:pPr>
              <w:pStyle w:val="TableContents"/>
              <w:spacing w:before="0" w:after="283"/>
              <w:jc w:val="left"/>
              <w:rPr/>
            </w:pPr>
            <w:r>
              <w:rPr/>
              <w:t> </w:t>
            </w:r>
          </w:p>
        </w:tc>
      </w:tr>
      <w:tr>
        <w:trPr/>
        <w:tc>
          <w:tcPr>
            <w:tcW w:w="227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2,736</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pPr>
      <w:r>
        <w:rPr/>
      </w:r>
    </w:p>
    <w:p>
      <w:pPr>
        <w:pStyle w:val="TextBody"/>
        <w:widowControl/>
        <w:spacing w:before="0" w:after="0"/>
        <w:ind w:left="0" w:right="0" w:firstLine="720"/>
        <w:jc w:val="left"/>
        <w:rPr>
          <w:rFonts w:ascii="Times New Roman" w:hAnsi="Times New Roman"/>
          <w:b/>
          <w:i/>
          <w:color w:val="000000"/>
          <w:sz w:val="20"/>
          <w:highlight w:val="white"/>
        </w:rPr>
      </w:pPr>
      <w:r>
        <w:rPr>
          <w:rFonts w:ascii="Times New Roman" w:hAnsi="Times New Roman"/>
          <w:b w:val="false"/>
          <w:i w:val="false"/>
          <w:caps w:val="false"/>
          <w:smallCaps w:val="false"/>
          <w:color w:val="000000"/>
          <w:sz w:val="20"/>
          <w:highlight w:val="white"/>
        </w:rPr>
        <w:t xml:space="preserve">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w:t>
      </w:r>
      <w:r>
        <w:rPr>
          <w:rFonts w:ascii="Times New Roman" w:hAnsi="Times New Roman"/>
          <w:b w:val="false"/>
          <w:i w:val="false"/>
          <w:caps w:val="false"/>
          <w:smallCaps w:val="false"/>
          <w:color w:val="000000"/>
          <w:spacing w:val="0"/>
          <w:sz w:val="20"/>
          <w:highlight w:val="white"/>
        </w:rPr>
        <w:t>and service contracts</w:t>
      </w:r>
      <w:r>
        <w:rPr>
          <w:rFonts w:ascii="Times New Roman;Times;serif" w:hAnsi="Times New Roman;Times;serif"/>
          <w:b w:val="false"/>
          <w:i w:val="false"/>
          <w:caps w:val="false"/>
          <w:smallCaps w:val="false"/>
          <w:color w:val="000000"/>
          <w:spacing w:val="0"/>
          <w:sz w:val="20"/>
          <w:highlight w:val="white"/>
        </w:rPr>
        <w:t xml:space="preserve"> </w:t>
      </w:r>
      <w:r>
        <w:rPr>
          <w:rFonts w:ascii="Times New Roman" w:hAnsi="Times New Roman"/>
          <w:b w:val="false"/>
          <w:i w:val="false"/>
          <w:caps w:val="false"/>
          <w:smallCaps w:val="false"/>
          <w:color w:val="000000"/>
          <w:sz w:val="20"/>
          <w:highlight w:val="white"/>
        </w:rPr>
        <w:t>but exclude any dermatology procedures equipment accounted for as</w:t>
      </w:r>
      <w:r>
        <w:rPr>
          <w:rFonts w:ascii="Times New Roman" w:hAnsi="Times New Roman"/>
          <w:b/>
          <w:i/>
          <w:color w:val="000000"/>
          <w:sz w:val="20"/>
          <w:highlight w:val="white"/>
        </w:rPr>
        <w:t xml:space="preserve"> </w:t>
      </w:r>
      <w:r>
        <w:rPr>
          <w:rFonts w:ascii="Times New Roman" w:hAnsi="Times New Roman"/>
          <w:b w:val="false"/>
          <w:i w:val="false"/>
          <w:caps w:val="false"/>
          <w:smallCaps w:val="false"/>
          <w:color w:val="000000"/>
          <w:sz w:val="20"/>
          <w:highlight w:val="white"/>
        </w:rPr>
        <w:t xml:space="preserve">leases. As of December 31, 2022 and 2021, the aggregate amount of the transaction price allocated to remaining performance obligations was $0.6 million and $1.3 million, respectively, and the Company expects to recognize $0.4 million and $0.9 million, respectively, of the remaining performance obligations within one year and the remainder over one to three years. </w:t>
      </w:r>
      <w:r>
        <w:rPr>
          <w:rFonts w:ascii="Times New Roman" w:hAnsi="Times New Roman"/>
          <w:b w:val="false"/>
          <w:i w:val="false"/>
          <w:caps w:val="false"/>
          <w:smallCaps w:val="false"/>
          <w:color w:val="000000"/>
          <w:spacing w:val="0"/>
          <w:sz w:val="20"/>
          <w:highlight w:val="white"/>
        </w:rPr>
        <w:t>The decrease in remaining performance obligations from December 31, 2021 to December 31, 2022 is due to the recognition of deferred service revenue associated with assumed service contracts from Ra Medical (see Note 3).</w:t>
      </w:r>
      <w:r>
        <w:rPr>
          <w:rFonts w:ascii="Times New Roman;Times;serif" w:hAnsi="Times New Roman;Times;serif"/>
          <w:b w:val="false"/>
          <w:i w:val="false"/>
          <w:caps w:val="false"/>
          <w:smallCaps w:val="false"/>
          <w:color w:val="000000"/>
          <w:spacing w:val="0"/>
          <w:sz w:val="20"/>
          <w:highlight w:val="white"/>
        </w:rPr>
        <w:t xml:space="preserve"> </w:t>
      </w:r>
      <w:r>
        <w:rPr>
          <w:rFonts w:ascii="Times New Roman" w:hAnsi="Times New Roman"/>
          <w:b w:val="false"/>
          <w:i w:val="false"/>
          <w:caps w:val="false"/>
          <w:smallCaps w:val="false"/>
          <w:color w:val="000000"/>
          <w:sz w:val="20"/>
          <w:highlight w:val="white"/>
        </w:rPr>
        <w:t>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w:t>
      </w:r>
      <w:r>
        <w:rPr>
          <w:rFonts w:ascii="Times New Roman" w:hAnsi="Times New Roman"/>
          <w:b/>
          <w:i/>
          <w:caps w:val="false"/>
          <w:smallCaps w:val="false"/>
          <w:color w:val="000000"/>
          <w:sz w:val="20"/>
          <w:highlight w:val="white"/>
        </w:rPr>
        <w:t xml:space="preserve"> </w:t>
      </w:r>
    </w:p>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ind w:left="0" w:right="0" w:hanging="0"/>
        <w:jc w:val="left"/>
        <w:rPr/>
      </w:pPr>
      <w:r>
        <w:rPr/>
      </w:r>
    </w:p>
    <w:p>
      <w:pPr>
        <w:pStyle w:val="TextBody"/>
        <w:widowControl/>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Contract liabilities primarily relate to extended warranties </w:t>
      </w:r>
      <w:r>
        <w:rPr>
          <w:rFonts w:ascii="Times New Roman" w:hAnsi="Times New Roman"/>
          <w:b w:val="false"/>
          <w:i w:val="false"/>
          <w:caps w:val="false"/>
          <w:smallCaps w:val="false"/>
          <w:color w:val="000000"/>
          <w:spacing w:val="0"/>
          <w:sz w:val="20"/>
          <w:highlight w:val="white"/>
        </w:rPr>
        <w:t>and service contracts</w:t>
      </w:r>
      <w:r>
        <w:rPr>
          <w:rFonts w:ascii="Times New Roman;Times;serif" w:hAnsi="Times New Roman;Times;serif"/>
          <w:b w:val="false"/>
          <w:i w:val="false"/>
          <w:caps w:val="false"/>
          <w:smallCaps w:val="false"/>
          <w:color w:val="000000"/>
          <w:spacing w:val="0"/>
          <w:sz w:val="20"/>
          <w:highlight w:val="white"/>
        </w:rPr>
        <w:t xml:space="preserve"> </w:t>
      </w:r>
      <w:r>
        <w:rPr>
          <w:rFonts w:ascii="Times New Roman" w:hAnsi="Times New Roman"/>
          <w:b w:val="false"/>
          <w:i w:val="false"/>
          <w:caps w:val="false"/>
          <w:smallCaps w:val="false"/>
          <w:color w:val="000000"/>
          <w:sz w:val="20"/>
          <w:highlight w:val="white"/>
        </w:rPr>
        <w:t>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December 31, 2022 and 2021, the $0.4 million and $0.9 million of short-term contract liabilities, respectively, is presented as deferred revenues and the $0.2 million and $0.4 million of long-term contract liabilities, respectively, is presented within deferred revenues and other liabilities on the consolidated balance sheets, respectively. For the years ended December 31, 2022 and 2021, the Company recognized $0.9 million and $0.1 million, respectively, as revenue from amounts classified as contract liabilities (i.e. deferred revenues) as of December 31, 2021 and 2020.</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With respect to contract acquisition costs, the Company applied the practical expedient and expenses these costs immediately.</w:t>
      </w:r>
    </w:p>
    <w:p>
      <w:pPr>
        <w:pStyle w:val="TextBody"/>
        <w:spacing w:before="0" w:after="0"/>
        <w:jc w:val="left"/>
        <w:rPr>
          <w:i w:val="false"/>
          <w:caps w:val="false"/>
          <w:smallCaps w:val="false"/>
        </w:rPr>
      </w:pPr>
      <w:r>
        <w:rPr>
          <w:i w:val="false"/>
          <w:caps w:val="false"/>
          <w:smallCaps w:val="false"/>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Engineering and Product Development</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Engineering and product development costs associated with research, new product development and product redesign are expensed as incurred.</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Advertising Costs</w:t>
      </w:r>
    </w:p>
    <w:p>
      <w:pPr>
        <w:pStyle w:val="TextBody"/>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Advertising costs are expensed as incurred and included in selling and marketing expenses within the Company’s consolidated statement of operations. The Company recognized advertising costs of $1.6 million during each of the years ended December 31, 2022 and 2021.</w:t>
      </w:r>
    </w:p>
    <w:p>
      <w:pPr>
        <w:pStyle w:val="TextBody"/>
        <w:spacing w:before="0" w:after="0"/>
        <w:jc w:val="left"/>
        <w:rPr>
          <w:color w:val="000000"/>
          <w:highlight w:val="white"/>
        </w:rPr>
      </w:pPr>
      <w:r>
        <w:rPr>
          <w:color w:val="000000"/>
          <w:highlight w:val="white"/>
        </w:rPr>
        <w:t> </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Stock-Based Compensation</w:t>
      </w:r>
    </w:p>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measures share-based awards at their grant-date fair value and records compensation expense on a straight-line basis over the requisite service period of the awards.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Estimating the fair value of share-based awards requires the input of subjective assumptions, including the expected life of the options and stock price volatility. The Company accounts for forfeitures of stock option awards as they occur. The estimated fair value of restricted stock awards is equal to the Company’s common stock price at the grant date. The Company uses the Black-Scholes option pricing model to value its stock option awards. The assumptions used in estimating the fair value of stock-option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Income Taxes</w:t>
      </w:r>
    </w:p>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pStyle w:val="TextBody"/>
        <w:spacing w:before="0" w:after="0"/>
        <w:jc w:val="left"/>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recognizes the tax effects of uncertain tax positions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 as of December 31, 2022. The Company includes interest and penalties related to income tax obligations within income tax expense. The Company’s tax years are still under open status from 2019 to present.</w:t>
      </w:r>
    </w:p>
    <w:p>
      <w:pPr>
        <w:pStyle w:val="TextBody"/>
        <w:spacing w:before="0" w:after="0"/>
        <w:jc w:val="left"/>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Net Loss Per Share</w:t>
      </w:r>
    </w:p>
    <w:p>
      <w:pPr>
        <w:pStyle w:val="TextBody"/>
        <w:spacing w:before="0" w:after="0"/>
        <w:jc w:val="left"/>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Basic net loss per share of common stock is computed by dividing net loss attributable to common stockholders by the weighted-average number of shares of common stock outstanding during each period. Diluted loss per share of common stock includes the effect, if any, from the potential exercise or conversion of securities such as unvested restricted stock awards, stock options and warrants for common stock which would result in the issuance of incremental shares of common stock. For diluted net loss per share, the weighted-average number of shares of common stock is the same as for basic net loss per share due to the fact that when a net loss exists, dilutive securities are not included in the calculation as the impact is anti-dilutive.</w:t>
      </w:r>
    </w:p>
    <w:p>
      <w:pPr>
        <w:pStyle w:val="TextBody"/>
        <w:spacing w:before="0" w:after="0"/>
        <w:jc w:val="left"/>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following potentially dilutive securities have been excluded from the computation of diluted weighted-average shares of common stock outstanding, as they would be anti-dilutive:</w:t>
      </w:r>
    </w:p>
    <w:p>
      <w:pPr>
        <w:pStyle w:val="TextBody"/>
        <w:spacing w:before="0" w:after="0"/>
        <w:jc w:val="left"/>
        <w:rPr>
          <w:rFonts w:ascii="Times New Roman" w:hAnsi="Times New Roman"/>
          <w:sz w:val="20"/>
        </w:rPr>
      </w:pPr>
      <w:r>
        <w:rPr>
          <w:rFonts w:ascii="Times New Roman" w:hAnsi="Times New Roman"/>
          <w:sz w:val="20"/>
        </w:rPr>
      </w:r>
    </w:p>
    <w:tbl>
      <w:tblPr>
        <w:tblW w:w="4650" w:type="dxa"/>
        <w:jc w:val="left"/>
        <w:tblInd w:w="0" w:type="dxa"/>
        <w:tblCellMar>
          <w:top w:w="0" w:type="dxa"/>
          <w:left w:w="0" w:type="dxa"/>
          <w:bottom w:w="0" w:type="dxa"/>
          <w:right w:w="0" w:type="dxa"/>
        </w:tblCellMar>
      </w:tblPr>
      <w:tblGrid>
        <w:gridCol w:w="2330"/>
        <w:gridCol w:w="60"/>
        <w:gridCol w:w="60"/>
        <w:gridCol w:w="980"/>
        <w:gridCol w:w="60"/>
        <w:gridCol w:w="60"/>
        <w:gridCol w:w="60"/>
        <w:gridCol w:w="980"/>
        <w:gridCol w:w="60"/>
      </w:tblGrid>
      <w:tr>
        <w:trPr/>
        <w:tc>
          <w:tcPr>
            <w:tcW w:w="23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220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tc>
        <w:tc>
          <w:tcPr>
            <w:tcW w:w="60" w:type="dxa"/>
            <w:tcBorders/>
            <w:shd w:fill="auto"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60" w:type="dxa"/>
            <w:tcBorders/>
            <w:shd w:fill="auto"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270" w:right="0" w:hanging="270"/>
              <w:jc w:val="left"/>
              <w:rPr/>
            </w:pPr>
            <w:r>
              <w:rPr/>
              <w:t>Restricted stock units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pPr>
            <w:r>
              <w:rPr/>
              <w:t>278,004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pPr>
            <w:r>
              <w:rPr/>
              <w:t>90,540</w:t>
            </w:r>
          </w:p>
        </w:tc>
        <w:tc>
          <w:tcPr>
            <w:tcW w:w="60" w:type="dxa"/>
            <w:tcBorders/>
            <w:shd w:fill="CCEEFF"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0"/>
              <w:ind w:left="270" w:right="0" w:hanging="270"/>
              <w:jc w:val="left"/>
              <w:rPr/>
            </w:pPr>
            <w:r>
              <w:rPr/>
              <w:t>Stock options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pPr>
            <w:r>
              <w:rPr/>
              <w:t>4,474,714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pPr>
            <w:r>
              <w:rPr/>
              <w:t>3,938,613</w:t>
            </w:r>
          </w:p>
        </w:tc>
        <w:tc>
          <w:tcPr>
            <w:tcW w:w="60" w:type="dxa"/>
            <w:tcBorders/>
            <w:shd w:fill="auto" w:val="clear"/>
            <w:vAlign w:val="bottom"/>
          </w:tcPr>
          <w:p>
            <w:pPr>
              <w:pStyle w:val="TableContents"/>
              <w:spacing w:before="0" w:after="283"/>
              <w:jc w:val="left"/>
              <w:rPr/>
            </w:pPr>
            <w:r>
              <w:rPr/>
              <w:t> </w:t>
            </w:r>
          </w:p>
        </w:tc>
      </w:tr>
      <w:tr>
        <w:trPr/>
        <w:tc>
          <w:tcPr>
            <w:tcW w:w="2330" w:type="dxa"/>
            <w:tcBorders/>
            <w:shd w:fill="CCEEFF" w:val="clear"/>
            <w:vAlign w:val="bottom"/>
          </w:tcPr>
          <w:p>
            <w:pPr>
              <w:pStyle w:val="TableContents"/>
              <w:spacing w:before="0" w:after="0"/>
              <w:ind w:left="270" w:right="0" w:hanging="270"/>
              <w:jc w:val="left"/>
              <w:rPr/>
            </w:pPr>
            <w:r>
              <w:rPr/>
              <w:t>Common stock warrants</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373,626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373,626</w:t>
            </w:r>
          </w:p>
        </w:tc>
        <w:tc>
          <w:tcPr>
            <w:tcW w:w="60" w:type="dxa"/>
            <w:tcBorders/>
            <w:shd w:fill="CCEEFF" w:val="clear"/>
            <w:vAlign w:val="bottom"/>
          </w:tcPr>
          <w:p>
            <w:pPr>
              <w:pStyle w:val="TableContents"/>
              <w:spacing w:before="0" w:after="283"/>
              <w:jc w:val="left"/>
              <w:rPr/>
            </w:pPr>
            <w:r>
              <w:rPr/>
              <w:t> </w:t>
            </w:r>
          </w:p>
        </w:tc>
      </w:tr>
      <w:tr>
        <w:trPr/>
        <w:tc>
          <w:tcPr>
            <w:tcW w:w="2330" w:type="dxa"/>
            <w:tcBorders/>
            <w:shd w:fill="auto" w:val="clear"/>
            <w:vAlign w:val="bottom"/>
          </w:tcPr>
          <w:p>
            <w:pPr>
              <w:pStyle w:val="TableContents"/>
              <w:spacing w:before="0" w:after="0"/>
              <w:ind w:left="0" w:right="0" w:firstLine="720"/>
              <w:rPr/>
            </w:pPr>
            <w:r>
              <w:rPr/>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auto" w:val="clear"/>
            <w:tcMar>
              <w:bottom w:w="28" w:type="dxa"/>
            </w:tcMar>
            <w:vAlign w:val="bottom"/>
          </w:tcPr>
          <w:p>
            <w:pPr>
              <w:pStyle w:val="TableContents"/>
              <w:spacing w:before="0" w:after="0"/>
              <w:jc w:val="right"/>
              <w:rPr/>
            </w:pPr>
            <w:r>
              <w:rPr/>
              <w:t>5,126,344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auto" w:val="clear"/>
            <w:tcMar>
              <w:bottom w:w="28" w:type="dxa"/>
            </w:tcMar>
            <w:vAlign w:val="bottom"/>
          </w:tcPr>
          <w:p>
            <w:pPr>
              <w:pStyle w:val="TableContents"/>
              <w:spacing w:before="0" w:after="0"/>
              <w:jc w:val="right"/>
              <w:rPr/>
            </w:pPr>
            <w:r>
              <w:rPr/>
              <w:t>4,402,779</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Accounting Pronouncements Recently Adopted</w:t>
      </w:r>
    </w:p>
    <w:p>
      <w:pPr>
        <w:pStyle w:val="TextBody"/>
        <w:spacing w:before="0" w:after="0"/>
        <w:jc w:val="left"/>
        <w:rPr>
          <w:rFonts w:ascii="Times New Roman" w:hAnsi="Times New Roman"/>
          <w:b/>
          <w:sz w:val="20"/>
        </w:rPr>
      </w:pPr>
      <w:r>
        <w:rPr>
          <w:rFonts w:ascii="Times New Roman" w:hAnsi="Times New Roman"/>
          <w:b/>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In May 2021, the FASB issued ASU 2021-04, </w:t>
      </w:r>
      <w:r>
        <w:rPr>
          <w:rFonts w:ascii="Times New Roman" w:hAnsi="Times New Roman"/>
          <w:i/>
          <w:color w:val="000000"/>
          <w:sz w:val="20"/>
          <w:highlight w:val="white"/>
        </w:rPr>
        <w:t>Earnings per Share (Topic 260), Debt – Modifications and Extinguishments (Subtopic 470-50), Compensation – Stock Compensation (Topic 718), and Derivatives and Hedging – Contracts in Entity’s Own Equity (Subtopic 815-40): Issuer’s Accounting for Certain Modifications or Exchanges or Freestanding Equity-Classified Written Call Options</w:t>
      </w:r>
      <w:r>
        <w:rPr>
          <w:rFonts w:ascii="Times New Roman" w:hAnsi="Times New Roman"/>
          <w:color w:val="000000"/>
          <w:sz w:val="20"/>
          <w:highlight w:val="white"/>
        </w:rPr>
        <w:t>. The pronouncement outlines how an entity should account for modifications made to equity-classified written call options, including stock options and warrants to purchase the entity’s own common stock. The guidance in the ASU requires an entity to treat a modification of an equity-classified written call option that does not cause the option to become liability-classified as an exchange of the original option for a new option. This guidance applies whether the modification is structured as an amendment to the terms and conditions of the equity-classified written call option or as termination of the original option and issuance of a new option. The guidance is effective prospectively for fiscal years beginning after December 15, 2021 and early adoption is permitted. The adoption of this guidance on January 1, 2022 did not have a material effect on the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Recent Accounting Pronouncements Not Yet Adopted</w:t>
      </w:r>
    </w:p>
    <w:p>
      <w:pPr>
        <w:pStyle w:val="TextBody"/>
        <w:spacing w:before="0" w:after="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In June 2016, the FASB issued ASU 2016-13, </w:t>
      </w:r>
      <w:r>
        <w:rPr>
          <w:rFonts w:ascii="Times New Roman" w:hAnsi="Times New Roman"/>
          <w:i/>
          <w:color w:val="000000"/>
          <w:sz w:val="20"/>
          <w:highlight w:val="white"/>
        </w:rPr>
        <w:t>Financial Instruments - Credit Losses (Topic 326): Measurement of Credit Losses on Financial Instruments,</w:t>
      </w:r>
      <w:r>
        <w:rPr>
          <w:rFonts w:ascii="Times New Roman" w:hAnsi="Times New Roman"/>
          <w:color w:val="000000"/>
          <w:sz w:val="20"/>
          <w:highlight w:val="white"/>
        </w:rPr>
        <w:t xml:space="preserve"> as amended subsequently by ASUs 2018-19, 2019-04, 2019-05, 2019-10, 2019-11 and 2020-03. The guidance in the ASUs requires that credit losses be reported using an expected losses model rather than the incurred losses model that is currently used. The standard also establishes additional disclosures related to credit risks. This standard is effective for fiscal years beginning after December 15, 2022 and early adoption is permitted. The Company does not believe this will have a material effect on its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In March 2020, the FASB issued ASU 2020-04, </w:t>
      </w:r>
      <w:r>
        <w:rPr>
          <w:rFonts w:ascii="Times New Roman" w:hAnsi="Times New Roman"/>
          <w:i/>
          <w:color w:val="000000"/>
          <w:sz w:val="20"/>
          <w:highlight w:val="white"/>
        </w:rPr>
        <w:t>Reference Rate Reform (Topic 848): Facilitation of the Effects of Reference Rate Reform on Financial Reporting</w:t>
      </w:r>
      <w:r>
        <w:rPr>
          <w:rFonts w:ascii="Times New Roman" w:hAnsi="Times New Roman"/>
          <w:color w:val="000000"/>
          <w:sz w:val="20"/>
          <w:highlight w:val="white"/>
        </w:rPr>
        <w:t xml:space="preserve"> and in January 2021, the FASB issued ASU 2021-01, Reference Rate Reform (Topic 848): Scope. These pronouncements provide temporary optional expedients and exceptions for applying GAAP principles to contract modifications and hedging relationships to ease the financial reporting burdens of the expected market transition from LIBOR and other interbank offered rates to alternative reference rates. In December 2022, the FASB issued ASU 2022-06, Reference Rate Reform (Topic 848): Deferral of the Sunset Date of Topic 848, which allows Topic 848 to be adopted and applied prospectively to contract modifications made on or before December 31, 2024. The Company continues to evaluate the temporary expedients and options available under this guidance and the effects of these pronouncements and, as the Company does not have any hedging activities, does not believe this will have a material effect on its consolidated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In August 2020, the FASB issued ASU 2020-06, </w:t>
      </w:r>
      <w:r>
        <w:rPr>
          <w:rFonts w:ascii="Times New Roman" w:hAnsi="Times New Roman"/>
          <w:i/>
          <w:color w:val="000000"/>
          <w:sz w:val="20"/>
          <w:highlight w:val="white"/>
        </w:rPr>
        <w:t>Debt with Conversion and Other Options (Subtopic 470-20) and Derivative and Hedging – Contracts in Entity’s Own Equity (Subtopic 815-40): Accounting for Convertible Instruments and Contracts in an Entity’s own Equity.</w:t>
      </w:r>
      <w:r>
        <w:rPr>
          <w:rFonts w:ascii="Times New Roman" w:hAnsi="Times New Roman"/>
          <w:color w:val="000000"/>
          <w:sz w:val="20"/>
          <w:highlight w:val="white"/>
        </w:rPr>
        <w:t xml:space="preserve"> The pronouncement simplifies the accounting for certain financial instruments with characteristics of liabilities and equity, including convertible instruments and contracts on an entity’s own equity. Specifically, the ASU simplifies accounting for convertible instruments by removing major separation models required under current GAAP. In addition, the ASU removes certain settlement conditions that are required for equity contracts to qualify for it and simplifies the diluted earnings per share (EPS) calculations in certain areas. The guidance is effective for fiscal years beginning after December 15, 2023 and early adoption is permitted. The Company does not currently engage in contracts covered by this guidance and does not believe it will have a material effect on the Company’s consolidated financial statements, but it could in the future.</w:t>
      </w:r>
    </w:p>
    <w:p>
      <w:pPr>
        <w:pStyle w:val="TextBody"/>
        <w:spacing w:before="0" w:after="0"/>
        <w:ind w:left="0" w:right="0" w:firstLine="72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3. Acquisitions</w:t>
      </w:r>
    </w:p>
    <w:p>
      <w:pPr>
        <w:pStyle w:val="TextBody"/>
        <w:spacing w:before="0" w:after="0"/>
        <w:jc w:val="both"/>
        <w:rPr>
          <w:rFonts w:ascii="Times New Roman" w:hAnsi="Times New Roman"/>
          <w:b/>
          <w:sz w:val="20"/>
        </w:rPr>
      </w:pPr>
      <w:r>
        <w:rPr>
          <w:rFonts w:ascii="Times New Roman" w:hAnsi="Times New Roman"/>
          <w:b/>
          <w:sz w:val="20"/>
        </w:rPr>
      </w:r>
    </w:p>
    <w:p>
      <w:pPr>
        <w:pStyle w:val="TextBody"/>
        <w:spacing w:before="0" w:after="0"/>
        <w:jc w:val="left"/>
        <w:rPr>
          <w:color w:val="000000"/>
        </w:rPr>
      </w:pPr>
      <w:r>
        <w:rPr>
          <w:color w:val="000000"/>
        </w:rPr>
        <w:t> </w:t>
      </w:r>
      <w:r>
        <w:rPr>
          <w:rFonts w:ascii="Times New Roman" w:hAnsi="Times New Roman"/>
          <w:i/>
          <w:color w:val="000000"/>
          <w:sz w:val="20"/>
        </w:rPr>
        <w:t>TheraClear Asset Acquisition</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t>In January 2022, the Company acquired certain assets related to the TheraClear devices from Theravant Corporation (“Theravant”). The TheraClear asset acquisition will allow the Company to further develop, commercialize and market the TheraClear devices that are used for acne treatment, as well as advance the TheraClear technology into multiple other devices that can be used to treat a range of additional indications.</w:t>
      </w:r>
    </w:p>
    <w:p>
      <w:pPr>
        <w:pStyle w:val="TextBody"/>
        <w:spacing w:before="0" w:after="0"/>
        <w:jc w:val="both"/>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t xml:space="preserve">The Company made an upfront cash payment of $0.5 million and issued to Theravant 358,367 shares of common stock with an aggregate value of $0.5 million as of the closing date in connection with the TheraClear asset acquisition. During the fourth quarter of 2022, the Company also made a $0.5 </w:t>
      </w:r>
      <w:r>
        <w:rPr>
          <w:rFonts w:ascii="Times New Roman" w:hAnsi="Times New Roman"/>
          <w:b w:val="false"/>
          <w:i w:val="false"/>
          <w:caps w:val="false"/>
          <w:smallCaps w:val="false"/>
          <w:color w:val="000000"/>
          <w:spacing w:val="0"/>
          <w:sz w:val="20"/>
          <w:highlight w:val="white"/>
        </w:rPr>
        <w:t>million milestone payment upon the launch of the TheraClear Acne Therapy System, one of the development-related targets.</w:t>
      </w:r>
      <w:r>
        <w:rPr>
          <w:rFonts w:ascii="Times New Roman" w:hAnsi="Times New Roman"/>
          <w:b w:val="false"/>
          <w:caps w:val="false"/>
          <w:smallCaps w:val="false"/>
          <w:color w:val="000000"/>
          <w:sz w:val="20"/>
          <w:highlight w:val="white"/>
        </w:rPr>
        <w:t xml:space="preserve"> Theravant is eligible to receive up to $3.0 million in future earnout payments upon the achievement of certain annual net revenue milestones,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w:t>
      </w:r>
    </w:p>
    <w:p>
      <w:pPr>
        <w:pStyle w:val="TextBody"/>
        <w:spacing w:before="0" w:after="0"/>
        <w:jc w:val="both"/>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t xml:space="preserve">The Company determined this transaction represented an asset acquisition as substantially all of the value was in the TheraClear technology intangible asset as defined by ASC 805, </w:t>
      </w:r>
      <w:r>
        <w:rPr>
          <w:rFonts w:ascii="Times New Roman" w:hAnsi="Times New Roman"/>
          <w:b w:val="false"/>
          <w:i/>
          <w:caps w:val="false"/>
          <w:smallCaps w:val="false"/>
          <w:color w:val="000000"/>
          <w:sz w:val="20"/>
          <w:highlight w:val="white"/>
        </w:rPr>
        <w:t>Business Combinations</w:t>
      </w:r>
      <w:r>
        <w:rPr>
          <w:rFonts w:ascii="Times New Roman" w:hAnsi="Times New Roman"/>
          <w:b w:val="false"/>
          <w:caps w:val="false"/>
          <w:smallCaps w:val="false"/>
          <w:color w:val="000000"/>
          <w:sz w:val="20"/>
          <w:highlight w:val="white"/>
        </w:rPr>
        <w:t xml:space="preserve"> (“ASC 805”).</w:t>
      </w:r>
    </w:p>
    <w:p>
      <w:pPr>
        <w:pStyle w:val="TextBody"/>
        <w:spacing w:before="0" w:after="0"/>
        <w:jc w:val="both"/>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r>
    </w:p>
    <w:p>
      <w:pPr>
        <w:pStyle w:val="TextBody"/>
        <w:spacing w:before="0" w:after="0"/>
        <w:jc w:val="both"/>
        <w:rPr/>
      </w:pPr>
      <w:r>
        <w:rPr/>
      </w:r>
    </w:p>
    <w:p>
      <w:pPr>
        <w:pStyle w:val="TextBody"/>
        <w:spacing w:before="0" w:after="0"/>
        <w:ind w:left="0" w:right="0" w:firstLine="720"/>
        <w:jc w:val="left"/>
        <w:rPr>
          <w:rFonts w:ascii="Times New Roman" w:hAnsi="Times New Roman"/>
          <w:b w:val="false"/>
          <w:caps w:val="false"/>
          <w:smallCaps w:val="false"/>
          <w:color w:val="000000"/>
          <w:sz w:val="20"/>
          <w:highlight w:val="white"/>
        </w:rPr>
      </w:pPr>
      <w:r>
        <w:rPr>
          <w:rFonts w:ascii="Times New Roman" w:hAnsi="Times New Roman"/>
          <w:b w:val="false"/>
          <w:caps w:val="false"/>
          <w:smallCaps w:val="false"/>
          <w:color w:val="000000"/>
          <w:sz w:val="20"/>
          <w:highlight w:val="white"/>
        </w:rPr>
        <w:t>The purchase price was allocated, on a relative fair value basis, to the technology intangible asset and acquired inventories as follows (in thousands):</w:t>
      </w:r>
    </w:p>
    <w:p>
      <w:pPr>
        <w:pStyle w:val="TextBody"/>
        <w:spacing w:before="0" w:after="0"/>
        <w:jc w:val="both"/>
        <w:rPr/>
      </w:pPr>
      <w:r>
        <w:rPr/>
      </w:r>
    </w:p>
    <w:tbl>
      <w:tblPr>
        <w:tblW w:w="3630" w:type="dxa"/>
        <w:jc w:val="left"/>
        <w:tblInd w:w="0" w:type="dxa"/>
        <w:tblCellMar>
          <w:top w:w="0" w:type="dxa"/>
          <w:left w:w="0" w:type="dxa"/>
          <w:bottom w:w="0" w:type="dxa"/>
          <w:right w:w="0" w:type="dxa"/>
        </w:tblCellMar>
      </w:tblPr>
      <w:tblGrid>
        <w:gridCol w:w="2675"/>
        <w:gridCol w:w="60"/>
        <w:gridCol w:w="140"/>
        <w:gridCol w:w="680"/>
        <w:gridCol w:w="75"/>
      </w:tblGrid>
      <w:tr>
        <w:trPr/>
        <w:tc>
          <w:tcPr>
            <w:tcW w:w="2675" w:type="dxa"/>
            <w:tcBorders/>
            <w:shd w:fill="auto" w:val="clear"/>
            <w:vAlign w:val="bottom"/>
          </w:tcPr>
          <w:p>
            <w:pPr>
              <w:pStyle w:val="TableContents"/>
              <w:spacing w:before="0" w:after="0"/>
              <w:jc w:val="both"/>
              <w:rPr/>
            </w:pPr>
            <w:r>
              <w:rPr/>
              <w:t>Consideration:</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jc w:val="both"/>
              <w:rPr/>
            </w:pPr>
            <w:r>
              <w:rPr/>
              <w:t>Cash payment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80" w:type="dxa"/>
            <w:tcBorders/>
            <w:shd w:fill="CCEEFF" w:val="clear"/>
            <w:vAlign w:val="bottom"/>
          </w:tcPr>
          <w:p>
            <w:pPr>
              <w:pStyle w:val="TableContents"/>
              <w:spacing w:before="0" w:after="0"/>
              <w:jc w:val="right"/>
              <w:rPr/>
            </w:pPr>
            <w:r>
              <w:rPr/>
              <w:t>500</w:t>
            </w:r>
          </w:p>
        </w:tc>
        <w:tc>
          <w:tcPr>
            <w:tcW w:w="75"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283"/>
              <w:rPr/>
            </w:pPr>
            <w:r>
              <w:rPr/>
              <w:t>Common stock issued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500</w:t>
            </w:r>
          </w:p>
        </w:tc>
        <w:tc>
          <w:tcPr>
            <w:tcW w:w="75"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jc w:val="both"/>
              <w:rPr/>
            </w:pPr>
            <w:r>
              <w:rPr/>
              <w:t>Transaction costs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131</w:t>
            </w:r>
          </w:p>
        </w:tc>
        <w:tc>
          <w:tcPr>
            <w:tcW w:w="75"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283"/>
              <w:rPr/>
            </w:pPr>
            <w:r>
              <w:rPr/>
              <w:t>Contingent consideration</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9,122</w:t>
            </w:r>
          </w:p>
        </w:tc>
        <w:tc>
          <w:tcPr>
            <w:tcW w:w="75"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jc w:val="both"/>
              <w:rPr/>
            </w:pPr>
            <w:r>
              <w:rPr/>
              <w:t>Total consideration</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10,253</w:t>
            </w:r>
          </w:p>
        </w:tc>
        <w:tc>
          <w:tcPr>
            <w:tcW w:w="75"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0"/>
              <w:jc w:val="both"/>
              <w:rPr/>
            </w:pPr>
            <w:r>
              <w:rPr/>
              <w:t>Assets acquired:</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283"/>
              <w:rPr/>
            </w:pPr>
            <w:r>
              <w:rPr/>
              <w:t>Technology intangible asset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10,182</w:t>
            </w:r>
          </w:p>
        </w:tc>
        <w:tc>
          <w:tcPr>
            <w:tcW w:w="75"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0"/>
              <w:jc w:val="both"/>
              <w:rPr/>
            </w:pPr>
            <w:r>
              <w:rPr/>
              <w:t>Inventories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71</w:t>
            </w:r>
          </w:p>
        </w:tc>
        <w:tc>
          <w:tcPr>
            <w:tcW w:w="75"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jc w:val="both"/>
              <w:rPr/>
            </w:pPr>
            <w:r>
              <w:rPr/>
              <w:t>Total assets acquired</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10,253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i/>
          <w:sz w:val="20"/>
        </w:rPr>
      </w:pPr>
      <w:r>
        <w:rPr>
          <w:rFonts w:ascii="Times New Roman" w:hAnsi="Times New Roman"/>
          <w:i/>
          <w:sz w:val="20"/>
        </w:rPr>
      </w:r>
    </w:p>
    <w:p>
      <w:pPr>
        <w:pStyle w:val="TextBody"/>
        <w:spacing w:before="0" w:after="0"/>
        <w:jc w:val="left"/>
        <w:rPr/>
      </w:pPr>
      <w:r>
        <w:rPr/>
      </w:r>
    </w:p>
    <w:p>
      <w:pPr>
        <w:pStyle w:val="TextBody"/>
        <w:ind w:left="0" w:right="0" w:firstLine="720"/>
        <w:jc w:val="left"/>
        <w:rPr>
          <w:rFonts w:ascii="Times New Roman" w:hAnsi="Times New Roman"/>
          <w:i/>
          <w:color w:val="000000"/>
          <w:sz w:val="20"/>
        </w:rPr>
      </w:pPr>
      <w:r>
        <w:rPr>
          <w:rFonts w:ascii="Times New Roman" w:hAnsi="Times New Roman"/>
          <w:b w:val="false"/>
          <w:i w:val="false"/>
          <w:caps w:val="false"/>
          <w:smallCaps w:val="false"/>
          <w:color w:val="000000"/>
          <w:sz w:val="20"/>
          <w:highlight w:val="white"/>
        </w:rPr>
        <w:t>The technology intangible asset is being amortized on a straight-line basis over a period of ten years, to be updated for subsequent changes in the contingent consideration that is allocated to its carrying value. The intangible asset was valued using the relief from royalty method. Significant assumptions used in the relief from royalty method include a 14.5% weighted average cost of capital and 15.0% of revenues for the royalty rate. The net book value of acquired inventories approximated its fair value. To calculate the fair value of the earnout using Monte Carlo simulations, Company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1.6%, revenue volatility of 45.0%, and a cost of equity of 10.5%.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technology intangible asset. Contingent consideration expected to be paid within the next year, which consists of $0.3 million as of December 31, 2022, is classified as current on the consolidated balance sheet.</w:t>
      </w:r>
      <w:r>
        <w:rPr>
          <w:rFonts w:ascii="Times New Roman" w:hAnsi="Times New Roman"/>
          <w:i/>
          <w:color w:val="000000"/>
          <w:sz w:val="2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STRATA Skin Sciences, Inc. and Subsidiary</w:t>
        <w:br/>
        <w:t>Notes to Consolidated Financial Statements</w:t>
      </w:r>
    </w:p>
    <w:p>
      <w:pPr>
        <w:pStyle w:val="TextBody"/>
        <w:spacing w:before="0" w:after="0"/>
        <w:jc w:val="left"/>
        <w:rPr>
          <w:rFonts w:ascii="Times New Roman" w:hAnsi="Times New Roman"/>
          <w:i/>
          <w:color w:val="000000"/>
          <w:sz w:val="20"/>
        </w:rPr>
      </w:pPr>
      <w:r>
        <w:rPr>
          <w:rFonts w:ascii="Times New Roman" w:hAnsi="Times New Roman"/>
          <w:i/>
          <w:color w:val="000000"/>
          <w:sz w:val="20"/>
        </w:rPr>
        <w:t>Pharos Asset Acquisition</w:t>
      </w:r>
    </w:p>
    <w:p>
      <w:pPr>
        <w:pStyle w:val="TextBody"/>
        <w:spacing w:before="0" w:after="0"/>
        <w:jc w:val="left"/>
        <w:rPr>
          <w:rFonts w:ascii="Times New Roman" w:hAnsi="Times New Roman"/>
          <w:i/>
          <w:sz w:val="20"/>
        </w:rPr>
      </w:pPr>
      <w:r>
        <w:rPr>
          <w:rFonts w:ascii="Times New Roman" w:hAnsi="Times New Roman"/>
          <w:i/>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August 2021, the Company acquired certain assets and liabilities related to the U.S. dermatology Pharos business from Ra Medical Systems, Inc. (“Ra Medical”). Ra Medical’s Pharos excimer laser system holds FDA clearance to treat chronic skin diseases, including psoriasis, vitiligo, atopic dermatitis and leukoderma. The acquisition of these assets and liabilities allows the Company to market its full business solutions to Ra Medical’s existing customer base comprised of 400 dermatology practices offering opportunities to increase its recurring revenue base and a pathway to gain additional placements for the Company’s XTRAC excimer laser system.</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purchase price of $3.7 million was paid in cash at the time of acquisition. In addition, the Company assumed certain extended warranty service contracts associated with acquired laser system products. Concurrent with the purchase of the net assets, the Company and Ra Medical entered into a services agreement whereby Ra Medical will provide certain transitional services for the Company as it integrates the acquired assets into the Company. The Company determined this transaction represented an asset acquisition as substantially all of the value was in the acquired customer list intangible asset as defined by ASC 805.</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purchase price was allocated, on a relative fair value basis, to the acquired inventories, customer lists intangible asset and deferred revenues as follows (in thousands):</w:t>
      </w:r>
    </w:p>
    <w:p>
      <w:pPr>
        <w:pStyle w:val="TextBody"/>
        <w:spacing w:before="0" w:after="0"/>
        <w:jc w:val="left"/>
        <w:rPr/>
      </w:pPr>
      <w:r>
        <w:rPr/>
      </w:r>
    </w:p>
    <w:tbl>
      <w:tblPr>
        <w:tblW w:w="3870" w:type="dxa"/>
        <w:jc w:val="left"/>
        <w:tblInd w:w="0" w:type="dxa"/>
        <w:tblCellMar>
          <w:top w:w="0" w:type="dxa"/>
          <w:left w:w="0" w:type="dxa"/>
          <w:bottom w:w="0" w:type="dxa"/>
          <w:right w:w="0" w:type="dxa"/>
        </w:tblCellMar>
      </w:tblPr>
      <w:tblGrid>
        <w:gridCol w:w="3125"/>
        <w:gridCol w:w="60"/>
        <w:gridCol w:w="125"/>
        <w:gridCol w:w="485"/>
        <w:gridCol w:w="75"/>
      </w:tblGrid>
      <w:tr>
        <w:trPr/>
        <w:tc>
          <w:tcPr>
            <w:tcW w:w="3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Consideration:</w:t>
            </w:r>
          </w:p>
        </w:tc>
        <w:tc>
          <w:tcPr>
            <w:tcW w:w="60" w:type="dxa"/>
            <w:tcBorders/>
            <w:shd w:fill="auto" w:val="clear"/>
            <w:vAlign w:val="bottom"/>
          </w:tcPr>
          <w:p>
            <w:pPr>
              <w:pStyle w:val="TableContents"/>
              <w:spacing w:before="0" w:after="283"/>
              <w:rPr/>
            </w:pPr>
            <w:r>
              <w:rPr/>
              <w:t> </w:t>
            </w:r>
          </w:p>
        </w:tc>
        <w:tc>
          <w:tcPr>
            <w:tcW w:w="61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0" w:right="0" w:firstLine="90"/>
              <w:jc w:val="left"/>
              <w:rPr>
                <w:rFonts w:ascii="Times New Roman" w:hAnsi="Times New Roman"/>
                <w:sz w:val="20"/>
              </w:rPr>
            </w:pPr>
            <w:r>
              <w:rPr>
                <w:rFonts w:ascii="Times New Roman" w:hAnsi="Times New Roman"/>
                <w:sz w:val="20"/>
              </w:rPr>
              <w:t>Cash payment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3,700</w:t>
            </w:r>
          </w:p>
        </w:tc>
        <w:tc>
          <w:tcPr>
            <w:tcW w:w="75"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0" w:right="0" w:firstLine="90"/>
              <w:jc w:val="left"/>
              <w:rPr>
                <w:rFonts w:ascii="Times New Roman" w:hAnsi="Times New Roman"/>
                <w:sz w:val="20"/>
              </w:rPr>
            </w:pPr>
            <w:r>
              <w:rPr>
                <w:rFonts w:ascii="Times New Roman" w:hAnsi="Times New Roman"/>
                <w:sz w:val="20"/>
              </w:rPr>
              <w:t>Transaction costs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57</w:t>
            </w:r>
          </w:p>
        </w:tc>
        <w:tc>
          <w:tcPr>
            <w:tcW w:w="75"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Total consideration</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3,757</w:t>
            </w:r>
          </w:p>
        </w:tc>
        <w:tc>
          <w:tcPr>
            <w:tcW w:w="75"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Assets acquired: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0" w:right="0" w:firstLine="9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284</w:t>
            </w:r>
          </w:p>
        </w:tc>
        <w:tc>
          <w:tcPr>
            <w:tcW w:w="75"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0" w:right="0" w:firstLine="90"/>
              <w:jc w:val="left"/>
              <w:rPr>
                <w:rFonts w:ascii="Times New Roman" w:hAnsi="Times New Roman"/>
                <w:sz w:val="20"/>
              </w:rPr>
            </w:pPr>
            <w:r>
              <w:rPr>
                <w:rFonts w:ascii="Times New Roman" w:hAnsi="Times New Roman"/>
                <w:sz w:val="20"/>
              </w:rPr>
              <w:t>Customer lists intangible asset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5,314</w:t>
            </w:r>
          </w:p>
        </w:tc>
        <w:tc>
          <w:tcPr>
            <w:tcW w:w="75"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Total assets acquired</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5,598</w:t>
            </w:r>
          </w:p>
        </w:tc>
        <w:tc>
          <w:tcPr>
            <w:tcW w:w="75"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Liabilities assumed: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125" w:type="dxa"/>
            <w:tcBorders/>
            <w:shd w:fill="CCEEFF" w:val="clear"/>
            <w:vAlign w:val="bottom"/>
          </w:tcPr>
          <w:p>
            <w:pPr>
              <w:pStyle w:val="TableContents"/>
              <w:spacing w:before="0" w:after="0"/>
              <w:ind w:left="0" w:right="0" w:firstLine="90"/>
              <w:jc w:val="left"/>
              <w:rPr>
                <w:rFonts w:ascii="Times New Roman" w:hAnsi="Times New Roman"/>
                <w:sz w:val="20"/>
              </w:rPr>
            </w:pPr>
            <w:r>
              <w:rPr>
                <w:rFonts w:ascii="Times New Roman" w:hAnsi="Times New Roman"/>
                <w:sz w:val="20"/>
              </w:rPr>
              <w:t>Deferred revenues – service contracts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1,841</w:t>
            </w:r>
          </w:p>
        </w:tc>
        <w:tc>
          <w:tcPr>
            <w:tcW w:w="75" w:type="dxa"/>
            <w:tcBorders/>
            <w:shd w:fill="CCEEFF" w:val="clear"/>
            <w:vAlign w:val="bottom"/>
          </w:tcPr>
          <w:p>
            <w:pPr>
              <w:pStyle w:val="TableContents"/>
              <w:spacing w:before="0" w:after="283"/>
              <w:jc w:val="left"/>
              <w:rPr/>
            </w:pPr>
            <w:r>
              <w:rPr/>
              <w:t> </w:t>
            </w:r>
          </w:p>
        </w:tc>
      </w:tr>
      <w:tr>
        <w:trPr/>
        <w:tc>
          <w:tcPr>
            <w:tcW w:w="3125" w:type="dxa"/>
            <w:tcBorders/>
            <w:shd w:fill="auto" w:val="clear"/>
            <w:vAlign w:val="bottom"/>
          </w:tcPr>
          <w:p>
            <w:pPr>
              <w:pStyle w:val="TableContents"/>
              <w:spacing w:before="0" w:after="0"/>
              <w:ind w:left="0" w:right="0" w:firstLine="540"/>
              <w:jc w:val="left"/>
              <w:rPr>
                <w:rFonts w:ascii="Times New Roman" w:hAnsi="Times New Roman"/>
                <w:sz w:val="20"/>
              </w:rPr>
            </w:pPr>
            <w:r>
              <w:rPr>
                <w:rFonts w:ascii="Times New Roman" w:hAnsi="Times New Roman"/>
                <w:sz w:val="20"/>
              </w:rPr>
              <w:t>Total liabilities assumed</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1,841</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2295" w:type="dxa"/>
        <w:jc w:val="left"/>
        <w:tblInd w:w="0" w:type="dxa"/>
        <w:tblCellMar>
          <w:top w:w="0" w:type="dxa"/>
          <w:left w:w="0" w:type="dxa"/>
          <w:bottom w:w="0" w:type="dxa"/>
          <w:right w:w="0" w:type="dxa"/>
        </w:tblCellMar>
      </w:tblPr>
      <w:tblGrid>
        <w:gridCol w:w="1565"/>
        <w:gridCol w:w="60"/>
        <w:gridCol w:w="125"/>
        <w:gridCol w:w="485"/>
        <w:gridCol w:w="60"/>
      </w:tblGrid>
      <w:tr>
        <w:trPr/>
        <w:tc>
          <w:tcPr>
            <w:tcW w:w="156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Net assets acquired</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3,757</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The customer lists intangible asset is being amortized on a straight-line basis over a period of 12 years. As the transaction was accounted for as an asset acquisition, the Company allocated consideration paid to the inventories acquired and the deferred revenues assumed, with the remaining consideration paid allocated to the customer lists intangible asset, which also equals its estimated fair value. The intangible asset was valued using an excess earnings model. Significant assumptions used in the excess earnings model include estimated customer sales growth, customer attrition and weighted average cost of capital of 3%, 5% and 17%, respectively.</w:t>
      </w:r>
    </w:p>
    <w:p>
      <w:pPr>
        <w:pStyle w:val="TextBody"/>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F-17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STRATA Skin Sciences, Inc. and Subsidiary</w:t>
        <w:br/>
        <w:t>Notes to Consolidated Financial Statements</w:t>
      </w:r>
    </w:p>
    <w:p>
      <w:pPr>
        <w:pStyle w:val="TextBody"/>
        <w:spacing w:before="0" w:after="0"/>
        <w:jc w:val="left"/>
        <w:rPr/>
      </w:pPr>
      <w:r>
        <w:rPr/>
      </w:r>
    </w:p>
    <w:p>
      <w:pPr>
        <w:pStyle w:val="TextBody"/>
        <w:spacing w:before="0" w:after="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 Fair Value Measurements</w:t>
      </w:r>
    </w:p>
    <w:p>
      <w:pPr>
        <w:pStyle w:val="TextBody"/>
        <w:spacing w:before="0" w:after="0"/>
        <w:jc w:val="left"/>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carrying values of cash equivalents, restricted cash, accounts receivable, prepaid expenses and other current assets, and accounts payable on the Company’s consolidated balance sheets approximated their fair values as of December 31, 2022 and 2021 due to their short-term nature. The carrying value of the Company’s current Senior Term Facility approximated its fair value as of December 31, 2022 and 2021 due to its variable interest rate.</w:t>
      </w:r>
    </w:p>
    <w:p>
      <w:pPr>
        <w:pStyle w:val="TextBody"/>
        <w:spacing w:before="0" w:after="0"/>
        <w:jc w:val="both"/>
        <w:rPr/>
      </w:pPr>
      <w:r>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5. Inventories</w:t>
      </w:r>
    </w:p>
    <w:p>
      <w:pPr>
        <w:pStyle w:val="TextBody"/>
        <w:spacing w:before="0" w:after="0"/>
        <w:jc w:val="both"/>
        <w:rPr>
          <w:rFonts w:ascii="Times New Roman" w:hAnsi="Times New Roman"/>
          <w:b/>
          <w:sz w:val="20"/>
        </w:rPr>
      </w:pPr>
      <w:r>
        <w:rPr>
          <w:rFonts w:ascii="Times New Roman" w:hAnsi="Times New Roman"/>
          <w:b/>
          <w:sz w:val="20"/>
        </w:rPr>
      </w:r>
    </w:p>
    <w:p>
      <w:pPr>
        <w:pStyle w:val="TextBody"/>
        <w:spacing w:before="0" w:after="0"/>
        <w:jc w:val="both"/>
        <w:rPr/>
      </w:pPr>
      <w:r>
        <w:rPr/>
      </w:r>
    </w:p>
    <w:p>
      <w:pPr>
        <w:pStyle w:val="TextBody"/>
        <w:spacing w:before="0" w:after="0"/>
        <w:ind w:left="0" w:right="0" w:firstLine="360"/>
        <w:jc w:val="left"/>
        <w:rPr>
          <w:rFonts w:ascii="Times New Roman" w:hAnsi="Times New Roman"/>
          <w:b w:val="false"/>
          <w:color w:val="000000"/>
          <w:sz w:val="20"/>
          <w:highlight w:val="white"/>
        </w:rPr>
      </w:pPr>
      <w:r>
        <w:rPr>
          <w:rFonts w:ascii="Times New Roman" w:hAnsi="Times New Roman"/>
          <w:b w:val="false"/>
          <w:color w:val="000000"/>
          <w:sz w:val="20"/>
          <w:highlight w:val="white"/>
        </w:rPr>
        <w:t>Inventories consist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4375" w:type="dxa"/>
        <w:jc w:val="left"/>
        <w:tblInd w:w="0" w:type="dxa"/>
        <w:tblCellMar>
          <w:top w:w="0" w:type="dxa"/>
          <w:left w:w="0" w:type="dxa"/>
          <w:bottom w:w="0" w:type="dxa"/>
          <w:right w:w="0" w:type="dxa"/>
        </w:tblCellMar>
      </w:tblPr>
      <w:tblGrid>
        <w:gridCol w:w="2855"/>
        <w:gridCol w:w="60"/>
        <w:gridCol w:w="125"/>
        <w:gridCol w:w="530"/>
        <w:gridCol w:w="60"/>
        <w:gridCol w:w="60"/>
        <w:gridCol w:w="125"/>
        <w:gridCol w:w="485"/>
        <w:gridCol w:w="75"/>
      </w:tblGrid>
      <w:tr>
        <w:trPr/>
        <w:tc>
          <w:tcPr>
            <w:tcW w:w="28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8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tc>
        <w:tc>
          <w:tcPr>
            <w:tcW w:w="75" w:type="dxa"/>
            <w:tcBorders/>
            <w:shd w:fill="auto"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2021</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jc w:val="both"/>
              <w:rPr>
                <w:rFonts w:ascii="Times New Roman" w:hAnsi="Times New Roman"/>
                <w:sz w:val="20"/>
              </w:rPr>
            </w:pPr>
            <w:r>
              <w:rPr>
                <w:rFonts w:ascii="Times New Roman" w:hAnsi="Times New Roman"/>
                <w:sz w:val="20"/>
              </w:rPr>
              <w:t>Raw materials and work-in-process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3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5, 418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3,201</w:t>
            </w:r>
          </w:p>
        </w:tc>
        <w:tc>
          <w:tcPr>
            <w:tcW w:w="75"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jc w:val="both"/>
              <w:rPr>
                <w:rFonts w:ascii="Times New Roman" w:hAnsi="Times New Roman"/>
                <w:sz w:val="20"/>
              </w:rPr>
            </w:pPr>
            <w:r>
              <w:rPr>
                <w:rFonts w:ascii="Times New Roman" w:hAnsi="Times New Roman"/>
                <w:sz w:val="20"/>
              </w:rPr>
              <w:t>Finished goods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3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288</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3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5,547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3,489</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6. Property and Equipment, net</w:t>
      </w:r>
    </w:p>
    <w:p>
      <w:pPr>
        <w:pStyle w:val="TextBody"/>
        <w:spacing w:before="0" w:after="0"/>
        <w:jc w:val="left"/>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360"/>
        <w:jc w:val="left"/>
        <w:rPr>
          <w:rFonts w:ascii="Times New Roman" w:hAnsi="Times New Roman"/>
          <w:color w:val="000000"/>
          <w:sz w:val="20"/>
          <w:highlight w:val="white"/>
        </w:rPr>
      </w:pPr>
      <w:r>
        <w:rPr>
          <w:rFonts w:ascii="Times New Roman" w:hAnsi="Times New Roman"/>
          <w:color w:val="000000"/>
          <w:sz w:val="20"/>
          <w:highlight w:val="white"/>
        </w:rPr>
        <w:t>Property and equipment consist of the following (in thousands):</w:t>
      </w:r>
    </w:p>
    <w:p>
      <w:pPr>
        <w:pStyle w:val="TextBody"/>
        <w:spacing w:before="0" w:after="0"/>
        <w:jc w:val="left"/>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r>
    </w:p>
    <w:tbl>
      <w:tblPr>
        <w:tblW w:w="6740" w:type="dxa"/>
        <w:jc w:val="left"/>
        <w:tblInd w:w="0" w:type="dxa"/>
        <w:tblCellMar>
          <w:top w:w="0" w:type="dxa"/>
          <w:left w:w="0" w:type="dxa"/>
          <w:bottom w:w="0" w:type="dxa"/>
          <w:right w:w="0" w:type="dxa"/>
        </w:tblCellMar>
      </w:tblPr>
      <w:tblGrid>
        <w:gridCol w:w="4625"/>
        <w:gridCol w:w="60"/>
        <w:gridCol w:w="140"/>
        <w:gridCol w:w="755"/>
        <w:gridCol w:w="95"/>
        <w:gridCol w:w="60"/>
        <w:gridCol w:w="140"/>
        <w:gridCol w:w="755"/>
        <w:gridCol w:w="110"/>
      </w:tblGrid>
      <w:tr>
        <w:trPr/>
        <w:tc>
          <w:tcPr>
            <w:tcW w:w="46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45" w:type="dxa"/>
            <w:gridSpan w:val="6"/>
            <w:tcBorders>
              <w:bottom w:val="single" w:sz="12" w:space="0" w:color="000000"/>
            </w:tcBorders>
            <w:shd w:fill="auto" w:val="clear"/>
            <w:tcMar>
              <w:bottom w:w="28" w:type="dxa"/>
            </w:tcMar>
            <w:vAlign w:val="bottom"/>
          </w:tcPr>
          <w:p>
            <w:pPr>
              <w:pStyle w:val="TableContents"/>
              <w:spacing w:before="0" w:after="283"/>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46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4625" w:type="dxa"/>
            <w:tcBorders/>
            <w:shd w:fill="CCEEFF" w:val="clear"/>
            <w:vAlign w:val="bottom"/>
          </w:tcPr>
          <w:p>
            <w:pPr>
              <w:pStyle w:val="TableContents"/>
              <w:spacing w:before="0" w:after="0"/>
              <w:rPr/>
            </w:pPr>
            <w:r>
              <w:rPr/>
              <w:t>Lasers placed-in-service</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755" w:type="dxa"/>
            <w:tcBorders/>
            <w:shd w:fill="CCEEFF" w:val="clear"/>
            <w:vAlign w:val="bottom"/>
          </w:tcPr>
          <w:p>
            <w:pPr>
              <w:pStyle w:val="TableContents"/>
              <w:spacing w:before="0" w:after="0"/>
              <w:jc w:val="right"/>
              <w:rPr/>
            </w:pPr>
            <w:r>
              <w:rPr/>
              <w:t>28,790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755" w:type="dxa"/>
            <w:tcBorders/>
            <w:shd w:fill="CCEEFF" w:val="clear"/>
            <w:vAlign w:val="bottom"/>
          </w:tcPr>
          <w:p>
            <w:pPr>
              <w:pStyle w:val="TableContents"/>
              <w:spacing w:before="0" w:after="0"/>
              <w:jc w:val="right"/>
              <w:rPr/>
            </w:pPr>
            <w:r>
              <w:rPr/>
              <w:t>25,949</w:t>
            </w:r>
          </w:p>
        </w:tc>
        <w:tc>
          <w:tcPr>
            <w:tcW w:w="110" w:type="dxa"/>
            <w:tcBorders/>
            <w:shd w:fill="CCEEFF" w:val="clear"/>
            <w:vAlign w:val="bottom"/>
          </w:tcPr>
          <w:p>
            <w:pPr>
              <w:pStyle w:val="TableContents"/>
              <w:spacing w:before="0" w:after="283"/>
              <w:jc w:val="left"/>
              <w:rPr/>
            </w:pPr>
            <w:r>
              <w:rPr/>
              <w:t> </w:t>
            </w:r>
          </w:p>
        </w:tc>
      </w:tr>
      <w:tr>
        <w:trPr/>
        <w:tc>
          <w:tcPr>
            <w:tcW w:w="4625" w:type="dxa"/>
            <w:tcBorders/>
            <w:shd w:fill="auto" w:val="clear"/>
            <w:vAlign w:val="bottom"/>
          </w:tcPr>
          <w:p>
            <w:pPr>
              <w:pStyle w:val="TableContents"/>
              <w:spacing w:before="0" w:after="0"/>
              <w:rPr/>
            </w:pPr>
            <w:r>
              <w:rPr/>
              <w:t>Equipment, computer hardware and software</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293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238</w:t>
            </w:r>
          </w:p>
        </w:tc>
        <w:tc>
          <w:tcPr>
            <w:tcW w:w="110" w:type="dxa"/>
            <w:tcBorders/>
            <w:shd w:fill="auto" w:val="clear"/>
            <w:vAlign w:val="bottom"/>
          </w:tcPr>
          <w:p>
            <w:pPr>
              <w:pStyle w:val="TableContents"/>
              <w:spacing w:before="0" w:after="283"/>
              <w:jc w:val="left"/>
              <w:rPr/>
            </w:pPr>
            <w:r>
              <w:rPr/>
              <w:t> </w:t>
            </w:r>
          </w:p>
        </w:tc>
      </w:tr>
      <w:tr>
        <w:trPr/>
        <w:tc>
          <w:tcPr>
            <w:tcW w:w="4625" w:type="dxa"/>
            <w:tcBorders/>
            <w:shd w:fill="CCEEFF" w:val="clear"/>
            <w:vAlign w:val="bottom"/>
          </w:tcPr>
          <w:p>
            <w:pPr>
              <w:pStyle w:val="TableContents"/>
              <w:spacing w:before="0" w:after="0"/>
              <w:rPr/>
            </w:pPr>
            <w:r>
              <w:rPr/>
              <w:t>Furniture and fixtures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235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213</w:t>
            </w:r>
          </w:p>
        </w:tc>
        <w:tc>
          <w:tcPr>
            <w:tcW w:w="110" w:type="dxa"/>
            <w:tcBorders/>
            <w:shd w:fill="CCEEFF" w:val="clear"/>
            <w:vAlign w:val="bottom"/>
          </w:tcPr>
          <w:p>
            <w:pPr>
              <w:pStyle w:val="TableContents"/>
              <w:spacing w:before="0" w:after="283"/>
              <w:jc w:val="left"/>
              <w:rPr/>
            </w:pPr>
            <w:r>
              <w:rPr/>
              <w:t> </w:t>
            </w:r>
          </w:p>
        </w:tc>
      </w:tr>
      <w:tr>
        <w:trPr/>
        <w:tc>
          <w:tcPr>
            <w:tcW w:w="4625" w:type="dxa"/>
            <w:tcBorders/>
            <w:shd w:fill="auto" w:val="clear"/>
            <w:vAlign w:val="bottom"/>
          </w:tcPr>
          <w:p>
            <w:pPr>
              <w:pStyle w:val="TableContents"/>
              <w:spacing w:before="0" w:after="0"/>
              <w:rPr/>
            </w:pPr>
            <w:r>
              <w:rPr/>
              <w:t>Leasehold improvements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136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254</w:t>
            </w:r>
          </w:p>
        </w:tc>
        <w:tc>
          <w:tcPr>
            <w:tcW w:w="110" w:type="dxa"/>
            <w:tcBorders/>
            <w:shd w:fill="auto" w:val="clear"/>
            <w:vAlign w:val="bottom"/>
          </w:tcPr>
          <w:p>
            <w:pPr>
              <w:pStyle w:val="TableContents"/>
              <w:spacing w:before="0" w:after="283"/>
              <w:jc w:val="left"/>
              <w:rPr/>
            </w:pPr>
            <w:r>
              <w:rPr/>
              <w:t> </w:t>
            </w:r>
          </w:p>
        </w:tc>
      </w:tr>
      <w:tr>
        <w:trPr/>
        <w:tc>
          <w:tcPr>
            <w:tcW w:w="4625" w:type="dxa"/>
            <w:tcBorders/>
            <w:shd w:fill="CCEEFF" w:val="clear"/>
            <w:vAlign w:val="bottom"/>
          </w:tcPr>
          <w:p>
            <w:pPr>
              <w:pStyle w:val="TableContents"/>
              <w:spacing w:before="0" w:after="0"/>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29,454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26,654</w:t>
            </w:r>
          </w:p>
        </w:tc>
        <w:tc>
          <w:tcPr>
            <w:tcW w:w="110" w:type="dxa"/>
            <w:tcBorders/>
            <w:shd w:fill="CCEEFF" w:val="clear"/>
            <w:vAlign w:val="bottom"/>
          </w:tcPr>
          <w:p>
            <w:pPr>
              <w:pStyle w:val="TableContents"/>
              <w:spacing w:before="0" w:after="283"/>
              <w:jc w:val="left"/>
              <w:rPr/>
            </w:pPr>
            <w:r>
              <w:rPr/>
              <w:t> </w:t>
            </w:r>
          </w:p>
        </w:tc>
      </w:tr>
      <w:tr>
        <w:trPr/>
        <w:tc>
          <w:tcPr>
            <w:tcW w:w="4625" w:type="dxa"/>
            <w:tcBorders/>
            <w:shd w:fill="auto" w:val="clear"/>
            <w:vAlign w:val="bottom"/>
          </w:tcPr>
          <w:p>
            <w:pPr>
              <w:pStyle w:val="TableContents"/>
              <w:spacing w:before="0" w:after="0"/>
              <w:rPr/>
            </w:pPr>
            <w:r>
              <w:rPr/>
              <w:t>Less: accumulated depreciation and amortization</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(21,956</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(19,771</w:t>
            </w:r>
          </w:p>
        </w:tc>
        <w:tc>
          <w:tcPr>
            <w:tcW w:w="110" w:type="dxa"/>
            <w:tcBorders/>
            <w:shd w:fill="auto" w:val="clear"/>
            <w:vAlign w:val="bottom"/>
          </w:tcPr>
          <w:p>
            <w:pPr>
              <w:pStyle w:val="TableContents"/>
              <w:spacing w:before="0" w:after="0"/>
              <w:jc w:val="left"/>
              <w:rPr/>
            </w:pPr>
            <w:r>
              <w:rPr/>
              <w:t>)</w:t>
            </w:r>
          </w:p>
        </w:tc>
      </w:tr>
      <w:tr>
        <w:trPr/>
        <w:tc>
          <w:tcPr>
            <w:tcW w:w="4625" w:type="dxa"/>
            <w:tcBorders/>
            <w:shd w:fill="CCEEFF" w:val="clear"/>
            <w:vAlign w:val="bottom"/>
          </w:tcPr>
          <w:p>
            <w:pPr>
              <w:pStyle w:val="TableContents"/>
              <w:spacing w:before="0" w:after="0"/>
              <w:rPr/>
            </w:pPr>
            <w:r>
              <w:rPr/>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7,498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6,883</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160"/>
        <w:jc w:val="left"/>
        <w:rPr/>
      </w:pPr>
      <w:r>
        <w:rPr/>
      </w:r>
    </w:p>
    <w:p>
      <w:pPr>
        <w:pStyle w:val="TextBody"/>
        <w:spacing w:before="0" w:after="160"/>
        <w:ind w:left="0" w:right="0" w:firstLine="360"/>
        <w:jc w:val="left"/>
        <w:rPr>
          <w:rFonts w:ascii="Times New Roman" w:hAnsi="Times New Roman"/>
          <w:color w:val="000000"/>
          <w:sz w:val="20"/>
          <w:highlight w:val="white"/>
        </w:rPr>
      </w:pPr>
      <w:r>
        <w:rPr>
          <w:rFonts w:ascii="Times New Roman" w:hAnsi="Times New Roman"/>
          <w:color w:val="000000"/>
          <w:sz w:val="20"/>
          <w:highlight w:val="white"/>
        </w:rPr>
        <w:t>The Company recorded depreciation and amortization expense of $2.4 million and $2.1 million during the years ended December 31, 2022 and 2021, respectively.</w:t>
      </w:r>
    </w:p>
    <w:p>
      <w:pPr>
        <w:pStyle w:val="TextBody"/>
        <w:spacing w:before="0" w:after="0"/>
        <w:jc w:val="both"/>
        <w:rPr>
          <w:color w:val="000000"/>
          <w:highlight w:val="white"/>
        </w:rPr>
      </w:pPr>
      <w:r>
        <w:rPr>
          <w:color w:val="000000"/>
          <w:highlight w:val="white"/>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 xml:space="preserve">7. </w:t>
      </w:r>
      <w:r>
        <w:rPr>
          <w:rFonts w:ascii="Times New Roman" w:hAnsi="Times New Roman"/>
          <w:b/>
          <w:i w:val="false"/>
          <w:caps w:val="false"/>
          <w:smallCaps w:val="false"/>
          <w:color w:val="000000"/>
          <w:sz w:val="20"/>
          <w:highlight w:val="white"/>
        </w:rPr>
        <w:t>Leases</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recognizes right-of-use assets (“ROU assets”) and operating lease liabilities when it obtains the right to control an asset under a leasing arrangement with an initial term greater than 12 months. The Company adopted the short-term accounting election for leases with a duration of less than one year. The Company leases its facilities and certain IT and office equipment under non-cancellable operating leases. All of the Company’s leasing arrangements are classified as operating leases with remaining lease terms ranging from one to four years, and one facility lease had a renewal option for two years. The renewal option was initially excluded from the determination of the lease term as it was not reasonably certain of exercise. In August 2022, the Company exercised the renewal option and amended the terms of the option, which has been accounted for as a lease modification. The ROU asset and operating lease liability were remeasured at the modification date, resulting in an increase to both balances of $0.7 million during the year ended December 31, 2022. There were no lease modifications during the year ended December 31, 2021.</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Operating lease costs were $0.4 million for each of the years ended December 31, 2022 and 2021. Cash paid for amounts included in the measurement of operating lease liabilities was $0.4 million and $0.5 million for the years ended December 31, 2022 and 2021, respectively. As of December 31, 2022 and 2021, the weighted average incremental borrowing rate was 8.76% and 9.76%, respectively, and the weighted average remaining lease term was 2.8 years and 2.3 years, respectively.</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F-18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200" w:after="200"/>
        <w:jc w:val="center"/>
        <w:rPr>
          <w:rFonts w:ascii="Times New Roman" w:hAnsi="Times New Roman"/>
          <w:b/>
          <w:color w:val="000000"/>
          <w:sz w:val="20"/>
        </w:rPr>
      </w:pPr>
      <w:r>
        <w:rPr>
          <w:rFonts w:ascii="Times New Roman" w:hAnsi="Times New Roman"/>
          <w:b/>
          <w:color w:val="000000"/>
          <w:sz w:val="20"/>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summarizes the Company’s operating lease maturities as of December 31, 2022 (in thousands):</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tbl>
      <w:tblPr>
        <w:tblW w:w="3395" w:type="dxa"/>
        <w:jc w:val="left"/>
        <w:tblInd w:w="0" w:type="dxa"/>
        <w:tblCellMar>
          <w:top w:w="0" w:type="dxa"/>
          <w:left w:w="0" w:type="dxa"/>
          <w:bottom w:w="0" w:type="dxa"/>
          <w:right w:w="0" w:type="dxa"/>
        </w:tblCellMar>
      </w:tblPr>
      <w:tblGrid>
        <w:gridCol w:w="2615"/>
        <w:gridCol w:w="60"/>
        <w:gridCol w:w="125"/>
        <w:gridCol w:w="485"/>
        <w:gridCol w:w="110"/>
      </w:tblGrid>
      <w:tr>
        <w:trPr/>
        <w:tc>
          <w:tcPr>
            <w:tcW w:w="2615" w:type="dxa"/>
            <w:tcBorders/>
            <w:shd w:fill="auto"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Years ending December 31:</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610" w:type="dxa"/>
            <w:gridSpan w:val="2"/>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110"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2615"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426</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386</w:t>
            </w:r>
          </w:p>
        </w:tc>
        <w:tc>
          <w:tcPr>
            <w:tcW w:w="110"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283"/>
              <w:rPr/>
            </w:pPr>
            <w:r>
              <w:rPr/>
              <w:t>2026</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283"/>
              <w:jc w:val="right"/>
              <w:rPr/>
            </w:pPr>
            <w:r>
              <w:rPr/>
              <w:t>81</w:t>
            </w:r>
          </w:p>
        </w:tc>
        <w:tc>
          <w:tcPr>
            <w:tcW w:w="110" w:type="dxa"/>
            <w:tcBorders>
              <w:bottom w:val="single" w:sz="12" w:space="0" w:color="000000"/>
            </w:tcBorders>
            <w:shd w:fill="auto" w:val="clear"/>
            <w:tcMar>
              <w:bottom w:w="28" w:type="dxa"/>
            </w:tcM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remaining lease payments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1,088</w:t>
            </w:r>
          </w:p>
        </w:tc>
        <w:tc>
          <w:tcPr>
            <w:tcW w:w="110"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110" w:type="dxa"/>
            <w:tcBorders>
              <w:bottom w:val="single" w:sz="12" w:space="0" w:color="000000"/>
            </w:tcBorders>
            <w:shd w:fill="auto" w:val="clear"/>
            <w:tcMar>
              <w:bottom w:w="28" w:type="dxa"/>
            </w:tcMar>
            <w:vAlign w:val="bottom"/>
          </w:tcPr>
          <w:p>
            <w:pPr>
              <w:pStyle w:val="TableContents"/>
              <w:spacing w:before="0" w:after="0"/>
              <w:jc w:val="left"/>
              <w:rPr/>
            </w:pPr>
            <w:r>
              <w:rPr/>
              <w:t>)</w:t>
            </w:r>
          </w:p>
        </w:tc>
      </w:tr>
      <w:tr>
        <w:trPr/>
        <w:tc>
          <w:tcPr>
            <w:tcW w:w="2615" w:type="dxa"/>
            <w:tcBorders/>
            <w:shd w:fill="CCEEFF" w:val="clear"/>
            <w:vAlign w:val="bottom"/>
          </w:tcPr>
          <w:p>
            <w:pPr>
              <w:pStyle w:val="TableContents"/>
              <w:spacing w:before="0" w:after="0"/>
              <w:ind w:left="0" w:right="0" w:firstLine="89"/>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965</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r>
    </w:tbl>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With respect to lease and non-lease components, the Company adopted the practical expedient to account for the lessee arrangement as a single lease component.</w:t>
      </w:r>
    </w:p>
    <w:p>
      <w:pPr>
        <w:pStyle w:val="TextBody"/>
        <w:spacing w:before="0" w:after="0"/>
        <w:jc w:val="left"/>
        <w:rPr>
          <w:rFonts w:ascii="Times New Roman" w:hAnsi="Times New Roman"/>
          <w:i/>
          <w:sz w:val="20"/>
        </w:rPr>
      </w:pPr>
      <w:r>
        <w:rPr>
          <w:rFonts w:ascii="Times New Roman" w:hAnsi="Times New Roman"/>
          <w:i/>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8. Intangible Assets and Goodwill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360"/>
        <w:jc w:val="both"/>
        <w:rPr>
          <w:rFonts w:ascii="Times New Roman" w:hAnsi="Times New Roman"/>
          <w:color w:val="000000"/>
          <w:sz w:val="20"/>
          <w:highlight w:val="white"/>
        </w:rPr>
      </w:pPr>
      <w:r>
        <w:rPr>
          <w:rFonts w:ascii="Times New Roman" w:hAnsi="Times New Roman"/>
          <w:color w:val="000000"/>
          <w:sz w:val="20"/>
          <w:highlight w:val="white"/>
        </w:rPr>
        <w:t>Intangible assets consist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5844" w:type="dxa"/>
        <w:jc w:val="left"/>
        <w:tblInd w:w="0" w:type="dxa"/>
        <w:tblCellMar>
          <w:top w:w="0" w:type="dxa"/>
          <w:left w:w="0" w:type="dxa"/>
          <w:bottom w:w="0" w:type="dxa"/>
          <w:right w:w="0" w:type="dxa"/>
        </w:tblCellMar>
      </w:tblPr>
      <w:tblGrid>
        <w:gridCol w:w="2195"/>
        <w:gridCol w:w="60"/>
        <w:gridCol w:w="141"/>
        <w:gridCol w:w="689"/>
        <w:gridCol w:w="60"/>
        <w:gridCol w:w="60"/>
        <w:gridCol w:w="214"/>
        <w:gridCol w:w="1156"/>
        <w:gridCol w:w="95"/>
        <w:gridCol w:w="60"/>
        <w:gridCol w:w="177"/>
        <w:gridCol w:w="862"/>
        <w:gridCol w:w="75"/>
      </w:tblGrid>
      <w:tr>
        <w:trPr/>
        <w:tc>
          <w:tcPr>
            <w:tcW w:w="2195" w:type="dxa"/>
            <w:tcBorders/>
            <w:shd w:fill="auto" w:val="clear"/>
            <w:vAlign w:val="bottom"/>
          </w:tcPr>
          <w:p>
            <w:pPr>
              <w:pStyle w:val="TableContents"/>
              <w:spacing w:before="0" w:after="283"/>
              <w:rPr>
                <w:b/>
              </w:rPr>
            </w:pPr>
            <w:r>
              <w:rPr>
                <w:b/>
              </w:rPr>
              <w:t>December 31, 2022</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Accumulated</w:t>
            </w:r>
          </w:p>
          <w:p>
            <w:pPr>
              <w:pStyle w:val="TableContents"/>
              <w:spacing w:before="0" w:after="0"/>
              <w:jc w:val="center"/>
              <w:rPr>
                <w:b/>
              </w:rPr>
            </w:pPr>
            <w:r>
              <w:rPr>
                <w:b/>
              </w:rPr>
              <w:t>Amortization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Net Book </w:t>
            </w:r>
          </w:p>
          <w:p>
            <w:pPr>
              <w:pStyle w:val="TableContents"/>
              <w:spacing w:before="0" w:after="0"/>
              <w:jc w:val="center"/>
              <w:rPr>
                <w:b/>
              </w:rPr>
            </w:pPr>
            <w:r>
              <w:rPr>
                <w:b/>
              </w:rPr>
              <w:t>Value</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rPr/>
            </w:pPr>
            <w:r>
              <w:rPr/>
              <w:t>Core technology</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pPr>
            <w:r>
              <w:rPr/>
              <w:t>$</w:t>
            </w:r>
          </w:p>
        </w:tc>
        <w:tc>
          <w:tcPr>
            <w:tcW w:w="689" w:type="dxa"/>
            <w:tcBorders/>
            <w:shd w:fill="CCEEFF" w:val="clear"/>
            <w:vAlign w:val="bottom"/>
          </w:tcPr>
          <w:p>
            <w:pPr>
              <w:pStyle w:val="TableContents"/>
              <w:spacing w:before="0" w:after="0"/>
              <w:jc w:val="right"/>
              <w:rPr/>
            </w:pPr>
            <w:r>
              <w:rPr/>
              <w:t>5,700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0"/>
              <w:jc w:val="left"/>
              <w:rPr/>
            </w:pPr>
            <w:r>
              <w:rPr/>
              <w:t>$</w:t>
            </w:r>
          </w:p>
        </w:tc>
        <w:tc>
          <w:tcPr>
            <w:tcW w:w="1156" w:type="dxa"/>
            <w:tcBorders/>
            <w:shd w:fill="CCEEFF" w:val="clear"/>
            <w:vAlign w:val="bottom"/>
          </w:tcPr>
          <w:p>
            <w:pPr>
              <w:pStyle w:val="TableContents"/>
              <w:spacing w:before="0" w:after="0"/>
              <w:jc w:val="right"/>
              <w:rPr/>
            </w:pPr>
            <w:r>
              <w:rPr/>
              <w:t>(4,275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0"/>
              <w:jc w:val="left"/>
              <w:rPr/>
            </w:pPr>
            <w:r>
              <w:rPr/>
              <w:t>$</w:t>
            </w:r>
          </w:p>
        </w:tc>
        <w:tc>
          <w:tcPr>
            <w:tcW w:w="862" w:type="dxa"/>
            <w:tcBorders/>
            <w:shd w:fill="CCEEFF" w:val="clear"/>
            <w:vAlign w:val="bottom"/>
          </w:tcPr>
          <w:p>
            <w:pPr>
              <w:pStyle w:val="TableContents"/>
              <w:spacing w:before="0" w:after="0"/>
              <w:jc w:val="right"/>
              <w:rPr/>
            </w:pPr>
            <w:r>
              <w:rPr/>
              <w:t>1,425</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0"/>
              <w:rPr/>
            </w:pPr>
            <w:r>
              <w:rPr/>
              <w:t>Product technology</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89" w:type="dxa"/>
            <w:tcBorders/>
            <w:shd w:fill="auto" w:val="clear"/>
            <w:vAlign w:val="bottom"/>
          </w:tcPr>
          <w:p>
            <w:pPr>
              <w:pStyle w:val="TableContents"/>
              <w:spacing w:before="0" w:after="0"/>
              <w:jc w:val="right"/>
              <w:rPr/>
            </w:pPr>
            <w:r>
              <w:rPr/>
              <w:t>12,182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0"/>
              <w:jc w:val="right"/>
              <w:rPr/>
            </w:pPr>
            <w:r>
              <w:rPr/>
              <w:t>(3,018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0"/>
              <w:jc w:val="right"/>
              <w:rPr/>
            </w:pPr>
            <w:r>
              <w:rPr/>
              <w:t>9,164</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rPr/>
            </w:pPr>
            <w:r>
              <w:rPr/>
              <w:t>Customer relationships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0"/>
              <w:jc w:val="right"/>
              <w:rPr/>
            </w:pPr>
            <w:r>
              <w:rPr/>
              <w:t>6,900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jc w:val="left"/>
              <w:rPr/>
            </w:pPr>
            <w:r>
              <w:rPr/>
              <w:t> </w:t>
            </w:r>
          </w:p>
        </w:tc>
        <w:tc>
          <w:tcPr>
            <w:tcW w:w="1156" w:type="dxa"/>
            <w:tcBorders/>
            <w:shd w:fill="CCEEFF" w:val="clear"/>
            <w:vAlign w:val="bottom"/>
          </w:tcPr>
          <w:p>
            <w:pPr>
              <w:pStyle w:val="TableContents"/>
              <w:spacing w:before="0" w:after="0"/>
              <w:jc w:val="right"/>
              <w:rPr/>
            </w:pPr>
            <w:r>
              <w:rPr/>
              <w:t>(5,175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0"/>
              <w:jc w:val="right"/>
              <w:rPr/>
            </w:pPr>
            <w:r>
              <w:rPr/>
              <w:t>1,725</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0"/>
              <w:rPr/>
            </w:pPr>
            <w:r>
              <w:rPr/>
              <w:t>Tradenames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89" w:type="dxa"/>
            <w:tcBorders/>
            <w:shd w:fill="auto" w:val="clear"/>
            <w:vAlign w:val="bottom"/>
          </w:tcPr>
          <w:p>
            <w:pPr>
              <w:pStyle w:val="TableContents"/>
              <w:spacing w:before="0" w:after="0"/>
              <w:jc w:val="right"/>
              <w:rPr/>
            </w:pPr>
            <w:r>
              <w:rPr/>
              <w:t>1,500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0"/>
              <w:jc w:val="right"/>
              <w:rPr/>
            </w:pPr>
            <w:r>
              <w:rPr/>
              <w:t>(1,125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0"/>
              <w:jc w:val="right"/>
              <w:rPr/>
            </w:pPr>
            <w:r>
              <w:rPr/>
              <w:t>375</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Pharos customer lists</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spacing w:before="0" w:after="283"/>
              <w:jc w:val="right"/>
              <w:rPr/>
            </w:pPr>
            <w:r>
              <w:rPr/>
              <w:t>5,314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spacing w:before="0" w:after="283"/>
              <w:jc w:val="right"/>
              <w:rPr/>
            </w:pPr>
            <w:r>
              <w:rPr/>
              <w:t>(609</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62" w:type="dxa"/>
            <w:tcBorders>
              <w:bottom w:val="single" w:sz="12" w:space="0" w:color="000000"/>
            </w:tcBorders>
            <w:shd w:fill="CCEEFF" w:val="clear"/>
            <w:tcMar>
              <w:bottom w:w="28" w:type="dxa"/>
            </w:tcMar>
            <w:vAlign w:val="bottom"/>
          </w:tcPr>
          <w:p>
            <w:pPr>
              <w:pStyle w:val="TableContents"/>
              <w:spacing w:before="0" w:after="283"/>
              <w:jc w:val="right"/>
              <w:rPr/>
            </w:pPr>
            <w:r>
              <w:rPr/>
              <w:t>4,705</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9" w:type="dxa"/>
            <w:tcBorders>
              <w:bottom w:val="double" w:sz="8" w:space="0" w:color="000000"/>
            </w:tcBorders>
            <w:shd w:fill="auto" w:val="clear"/>
            <w:tcMar>
              <w:bottom w:w="28" w:type="dxa"/>
            </w:tcMar>
            <w:vAlign w:val="bottom"/>
          </w:tcPr>
          <w:p>
            <w:pPr>
              <w:pStyle w:val="TableContents"/>
              <w:spacing w:before="0" w:after="0"/>
              <w:jc w:val="right"/>
              <w:rPr/>
            </w:pPr>
            <w:r>
              <w:rPr/>
              <w:t>31,596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156" w:type="dxa"/>
            <w:tcBorders>
              <w:bottom w:val="double" w:sz="8" w:space="0" w:color="000000"/>
            </w:tcBorders>
            <w:shd w:fill="auto" w:val="clear"/>
            <w:tcMar>
              <w:bottom w:w="28" w:type="dxa"/>
            </w:tcMar>
            <w:vAlign w:val="bottom"/>
          </w:tcPr>
          <w:p>
            <w:pPr>
              <w:pStyle w:val="TableContents"/>
              <w:spacing w:before="0" w:after="0"/>
              <w:jc w:val="right"/>
              <w:rPr/>
            </w:pPr>
            <w:r>
              <w:rPr/>
              <w:t>(14,202</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862" w:type="dxa"/>
            <w:tcBorders>
              <w:bottom w:val="double" w:sz="8" w:space="0" w:color="000000"/>
            </w:tcBorders>
            <w:shd w:fill="auto" w:val="clear"/>
            <w:tcMar>
              <w:bottom w:w="28" w:type="dxa"/>
            </w:tcMar>
            <w:vAlign w:val="bottom"/>
          </w:tcPr>
          <w:p>
            <w:pPr>
              <w:pStyle w:val="TableContents"/>
              <w:spacing w:before="0" w:after="0"/>
              <w:jc w:val="right"/>
              <w:rPr/>
            </w:pPr>
            <w:r>
              <w:rPr/>
              <w:t>17,394</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r>
    </w:p>
    <w:tbl>
      <w:tblPr>
        <w:tblW w:w="5844" w:type="dxa"/>
        <w:jc w:val="left"/>
        <w:tblInd w:w="0" w:type="dxa"/>
        <w:tblCellMar>
          <w:top w:w="0" w:type="dxa"/>
          <w:left w:w="0" w:type="dxa"/>
          <w:bottom w:w="0" w:type="dxa"/>
          <w:right w:w="0" w:type="dxa"/>
        </w:tblCellMar>
      </w:tblPr>
      <w:tblGrid>
        <w:gridCol w:w="2195"/>
        <w:gridCol w:w="60"/>
        <w:gridCol w:w="141"/>
        <w:gridCol w:w="689"/>
        <w:gridCol w:w="60"/>
        <w:gridCol w:w="60"/>
        <w:gridCol w:w="214"/>
        <w:gridCol w:w="1156"/>
        <w:gridCol w:w="95"/>
        <w:gridCol w:w="60"/>
        <w:gridCol w:w="177"/>
        <w:gridCol w:w="862"/>
        <w:gridCol w:w="75"/>
      </w:tblGrid>
      <w:tr>
        <w:trPr/>
        <w:tc>
          <w:tcPr>
            <w:tcW w:w="2195" w:type="dxa"/>
            <w:tcBorders/>
            <w:shd w:fill="auto" w:val="clear"/>
            <w:vAlign w:val="bottom"/>
          </w:tcPr>
          <w:p>
            <w:pPr>
              <w:pStyle w:val="TableContents"/>
              <w:spacing w:before="0" w:after="283"/>
              <w:rPr>
                <w:b/>
              </w:rPr>
            </w:pPr>
            <w:r>
              <w:rPr>
                <w:b/>
              </w:rPr>
              <w:t>December 31, 2021</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Accumulated</w:t>
            </w:r>
          </w:p>
          <w:p>
            <w:pPr>
              <w:pStyle w:val="TableContents"/>
              <w:spacing w:before="0" w:after="0"/>
              <w:jc w:val="center"/>
              <w:rPr>
                <w:b/>
              </w:rPr>
            </w:pPr>
            <w:r>
              <w:rPr>
                <w:b/>
              </w:rPr>
              <w:t>Amortization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 xml:space="preserve">Net Book </w:t>
            </w:r>
          </w:p>
          <w:p>
            <w:pPr>
              <w:pStyle w:val="TableContents"/>
              <w:spacing w:before="0" w:after="0"/>
              <w:jc w:val="center"/>
              <w:rPr>
                <w:b/>
              </w:rPr>
            </w:pPr>
            <w:r>
              <w:rPr>
                <w:b/>
              </w:rPr>
              <w:t>Value</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rPr/>
            </w:pPr>
            <w:r>
              <w:rPr/>
              <w:t>Core technology</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pPr>
            <w:r>
              <w:rPr/>
              <w:t>$</w:t>
            </w:r>
          </w:p>
        </w:tc>
        <w:tc>
          <w:tcPr>
            <w:tcW w:w="689" w:type="dxa"/>
            <w:tcBorders/>
            <w:shd w:fill="CCEEFF" w:val="clear"/>
            <w:vAlign w:val="bottom"/>
          </w:tcPr>
          <w:p>
            <w:pPr>
              <w:pStyle w:val="TableContents"/>
              <w:spacing w:before="0" w:after="0"/>
              <w:jc w:val="right"/>
              <w:rPr/>
            </w:pPr>
            <w:r>
              <w:rPr/>
              <w:t>5,700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0"/>
              <w:jc w:val="left"/>
              <w:rPr/>
            </w:pPr>
            <w:r>
              <w:rPr/>
              <w:t>$</w:t>
            </w:r>
          </w:p>
        </w:tc>
        <w:tc>
          <w:tcPr>
            <w:tcW w:w="1156" w:type="dxa"/>
            <w:tcBorders/>
            <w:shd w:fill="CCEEFF" w:val="clear"/>
            <w:vAlign w:val="bottom"/>
          </w:tcPr>
          <w:p>
            <w:pPr>
              <w:pStyle w:val="TableContents"/>
              <w:spacing w:before="0" w:after="0"/>
              <w:jc w:val="right"/>
              <w:rPr/>
            </w:pPr>
            <w:r>
              <w:rPr/>
              <w:t>(3,705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0"/>
              <w:jc w:val="left"/>
              <w:rPr/>
            </w:pPr>
            <w:r>
              <w:rPr/>
              <w:t>$</w:t>
            </w:r>
          </w:p>
        </w:tc>
        <w:tc>
          <w:tcPr>
            <w:tcW w:w="862" w:type="dxa"/>
            <w:tcBorders/>
            <w:shd w:fill="CCEEFF" w:val="clear"/>
            <w:vAlign w:val="bottom"/>
          </w:tcPr>
          <w:p>
            <w:pPr>
              <w:pStyle w:val="TableContents"/>
              <w:spacing w:before="0" w:after="0"/>
              <w:jc w:val="right"/>
              <w:rPr/>
            </w:pPr>
            <w:r>
              <w:rPr/>
              <w:t>1,995</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0"/>
              <w:rPr/>
            </w:pPr>
            <w:r>
              <w:rPr/>
              <w:t>Product technology</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89" w:type="dxa"/>
            <w:tcBorders/>
            <w:shd w:fill="auto" w:val="clear"/>
            <w:vAlign w:val="bottom"/>
          </w:tcPr>
          <w:p>
            <w:pPr>
              <w:pStyle w:val="TableContents"/>
              <w:spacing w:before="0" w:after="0"/>
              <w:jc w:val="right"/>
              <w:rPr/>
            </w:pPr>
            <w:r>
              <w:rPr/>
              <w:t>2,000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0"/>
              <w:jc w:val="right"/>
              <w:rPr/>
            </w:pPr>
            <w:r>
              <w:rPr/>
              <w:t>(2,000</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0"/>
              <w:rPr/>
            </w:pPr>
            <w:r>
              <w:rPr/>
              <w:t>Customer relationships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89" w:type="dxa"/>
            <w:tcBorders/>
            <w:shd w:fill="CCEEFF" w:val="clear"/>
            <w:vAlign w:val="bottom"/>
          </w:tcPr>
          <w:p>
            <w:pPr>
              <w:pStyle w:val="TableContents"/>
              <w:spacing w:before="0" w:after="0"/>
              <w:jc w:val="right"/>
              <w:rPr/>
            </w:pPr>
            <w:r>
              <w:rPr/>
              <w:t>6,900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shd w:fill="CCEEFF" w:val="clear"/>
            <w:vAlign w:val="bottom"/>
          </w:tcPr>
          <w:p>
            <w:pPr>
              <w:pStyle w:val="TableContents"/>
              <w:spacing w:before="0" w:after="283"/>
              <w:jc w:val="left"/>
              <w:rPr/>
            </w:pPr>
            <w:r>
              <w:rPr/>
              <w:t> </w:t>
            </w:r>
          </w:p>
        </w:tc>
        <w:tc>
          <w:tcPr>
            <w:tcW w:w="1156" w:type="dxa"/>
            <w:tcBorders/>
            <w:shd w:fill="CCEEFF" w:val="clear"/>
            <w:vAlign w:val="bottom"/>
          </w:tcPr>
          <w:p>
            <w:pPr>
              <w:pStyle w:val="TableContents"/>
              <w:spacing w:before="0" w:after="0"/>
              <w:jc w:val="right"/>
              <w:rPr/>
            </w:pPr>
            <w:r>
              <w:rPr/>
              <w:t>(4,485</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0"/>
              <w:jc w:val="right"/>
              <w:rPr/>
            </w:pPr>
            <w:r>
              <w:rPr/>
              <w:t>2,415</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0"/>
              <w:rPr/>
            </w:pPr>
            <w:r>
              <w:rPr/>
              <w:t>Tradenames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89" w:type="dxa"/>
            <w:tcBorders/>
            <w:shd w:fill="auto" w:val="clear"/>
            <w:vAlign w:val="bottom"/>
          </w:tcPr>
          <w:p>
            <w:pPr>
              <w:pStyle w:val="TableContents"/>
              <w:spacing w:before="0" w:after="0"/>
              <w:jc w:val="right"/>
              <w:rPr/>
            </w:pPr>
            <w:r>
              <w:rPr/>
              <w:t>1,500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shd w:fill="auto" w:val="clear"/>
            <w:vAlign w:val="bottom"/>
          </w:tcPr>
          <w:p>
            <w:pPr>
              <w:pStyle w:val="TableContents"/>
              <w:spacing w:before="0" w:after="283"/>
              <w:jc w:val="left"/>
              <w:rPr/>
            </w:pPr>
            <w:r>
              <w:rPr/>
              <w:t> </w:t>
            </w:r>
          </w:p>
        </w:tc>
        <w:tc>
          <w:tcPr>
            <w:tcW w:w="1156" w:type="dxa"/>
            <w:tcBorders/>
            <w:shd w:fill="auto" w:val="clear"/>
            <w:vAlign w:val="bottom"/>
          </w:tcPr>
          <w:p>
            <w:pPr>
              <w:pStyle w:val="TableContents"/>
              <w:spacing w:before="0" w:after="0"/>
              <w:jc w:val="right"/>
              <w:rPr/>
            </w:pPr>
            <w:r>
              <w:rPr/>
              <w:t>(975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0"/>
              <w:jc w:val="right"/>
              <w:rPr/>
            </w:pPr>
            <w:r>
              <w:rPr/>
              <w:t>525</w:t>
            </w:r>
          </w:p>
        </w:tc>
        <w:tc>
          <w:tcPr>
            <w:tcW w:w="75" w:type="dxa"/>
            <w:tcBorders/>
            <w:shd w:fill="auto" w:val="clear"/>
            <w:vAlign w:val="bottom"/>
          </w:tcPr>
          <w:p>
            <w:pPr>
              <w:pStyle w:val="TableContents"/>
              <w:spacing w:before="0" w:after="283"/>
              <w:jc w:val="left"/>
              <w:rPr/>
            </w:pPr>
            <w:r>
              <w:rPr/>
              <w:t> </w:t>
            </w:r>
          </w:p>
        </w:tc>
      </w:tr>
      <w:tr>
        <w:trPr/>
        <w:tc>
          <w:tcPr>
            <w:tcW w:w="2195" w:type="dxa"/>
            <w:tcBorders/>
            <w:shd w:fill="CCEEFF" w:val="clear"/>
            <w:vAlign w:val="bottom"/>
          </w:tcPr>
          <w:p>
            <w:pPr>
              <w:pStyle w:val="TableContents"/>
              <w:spacing w:before="0" w:after="283"/>
              <w:rPr/>
            </w:pPr>
            <w:r>
              <w:rPr/>
              <w:t xml:space="preserve">Pharos customer lists </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9" w:type="dxa"/>
            <w:tcBorders>
              <w:bottom w:val="single" w:sz="12" w:space="0" w:color="000000"/>
            </w:tcBorders>
            <w:shd w:fill="CCEEFF" w:val="clear"/>
            <w:tcMar>
              <w:bottom w:w="28" w:type="dxa"/>
            </w:tcMar>
            <w:vAlign w:val="bottom"/>
          </w:tcPr>
          <w:p>
            <w:pPr>
              <w:pStyle w:val="TableContents"/>
              <w:spacing w:before="0" w:after="0"/>
              <w:jc w:val="right"/>
              <w:rPr/>
            </w:pPr>
            <w:r>
              <w:rPr/>
              <w:t>5,314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4" w:type="dxa"/>
            <w:tcBorders>
              <w:bottom w:val="single" w:sz="12" w:space="0" w:color="000000"/>
            </w:tcBorders>
            <w:shd w:fill="CCEEFF" w:val="clear"/>
            <w:tcMar>
              <w:bottom w:w="28" w:type="dxa"/>
            </w:tcMar>
            <w:vAlign w:val="bottom"/>
          </w:tcPr>
          <w:p>
            <w:pPr>
              <w:pStyle w:val="TableContents"/>
              <w:spacing w:before="0" w:after="0"/>
              <w:rPr/>
            </w:pPr>
            <w:r>
              <w:rPr/>
            </w:r>
          </w:p>
        </w:tc>
        <w:tc>
          <w:tcPr>
            <w:tcW w:w="1156" w:type="dxa"/>
            <w:tcBorders>
              <w:bottom w:val="single" w:sz="12" w:space="0" w:color="000000"/>
            </w:tcBorders>
            <w:shd w:fill="CCEEFF" w:val="clear"/>
            <w:tcMar>
              <w:bottom w:w="28" w:type="dxa"/>
            </w:tcMar>
            <w:vAlign w:val="bottom"/>
          </w:tcPr>
          <w:p>
            <w:pPr>
              <w:pStyle w:val="TableContents"/>
              <w:spacing w:before="0" w:after="0"/>
              <w:jc w:val="right"/>
              <w:rPr/>
            </w:pPr>
            <w:r>
              <w:rPr/>
              <w:t>(166</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77" w:type="dxa"/>
            <w:tcBorders>
              <w:bottom w:val="single" w:sz="12" w:space="0" w:color="000000"/>
            </w:tcBorders>
            <w:shd w:fill="CCEEFF" w:val="clear"/>
            <w:tcMar>
              <w:bottom w:w="28" w:type="dxa"/>
            </w:tcMar>
            <w:vAlign w:val="bottom"/>
          </w:tcPr>
          <w:p>
            <w:pPr>
              <w:pStyle w:val="TableContents"/>
              <w:spacing w:before="0" w:after="0"/>
              <w:rPr/>
            </w:pPr>
            <w:r>
              <w:rPr/>
            </w:r>
          </w:p>
        </w:tc>
        <w:tc>
          <w:tcPr>
            <w:tcW w:w="862" w:type="dxa"/>
            <w:tcBorders>
              <w:bottom w:val="single" w:sz="12" w:space="0" w:color="000000"/>
            </w:tcBorders>
            <w:shd w:fill="CCEEFF" w:val="clear"/>
            <w:tcMar>
              <w:bottom w:w="28" w:type="dxa"/>
            </w:tcMar>
            <w:vAlign w:val="bottom"/>
          </w:tcPr>
          <w:p>
            <w:pPr>
              <w:pStyle w:val="TableContents"/>
              <w:spacing w:before="0" w:after="0"/>
              <w:jc w:val="right"/>
              <w:rPr/>
            </w:pPr>
            <w:r>
              <w:rPr/>
              <w:t>5,148</w:t>
            </w:r>
          </w:p>
        </w:tc>
        <w:tc>
          <w:tcPr>
            <w:tcW w:w="75" w:type="dxa"/>
            <w:tcBorders/>
            <w:shd w:fill="CCEEFF" w:val="clear"/>
            <w:vAlign w:val="bottom"/>
          </w:tcPr>
          <w:p>
            <w:pPr>
              <w:pStyle w:val="TableContents"/>
              <w:spacing w:before="0" w:after="283"/>
              <w:jc w:val="left"/>
              <w:rPr/>
            </w:pPr>
            <w:r>
              <w:rPr/>
              <w:t> </w:t>
            </w:r>
          </w:p>
        </w:tc>
      </w:tr>
      <w:tr>
        <w:trPr/>
        <w:tc>
          <w:tcPr>
            <w:tcW w:w="21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9" w:type="dxa"/>
            <w:tcBorders>
              <w:bottom w:val="double" w:sz="8" w:space="0" w:color="000000"/>
            </w:tcBorders>
            <w:shd w:fill="auto" w:val="clear"/>
            <w:tcMar>
              <w:bottom w:w="28" w:type="dxa"/>
            </w:tcMar>
            <w:vAlign w:val="bottom"/>
          </w:tcPr>
          <w:p>
            <w:pPr>
              <w:pStyle w:val="TableContents"/>
              <w:spacing w:before="0" w:after="283"/>
              <w:jc w:val="right"/>
              <w:rPr/>
            </w:pPr>
            <w:r>
              <w:rPr/>
              <w:t>21,414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4"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1156" w:type="dxa"/>
            <w:tcBorders>
              <w:bottom w:val="double" w:sz="8" w:space="0" w:color="000000"/>
            </w:tcBorders>
            <w:shd w:fill="auto" w:val="clear"/>
            <w:tcMar>
              <w:bottom w:w="28" w:type="dxa"/>
            </w:tcMar>
            <w:vAlign w:val="bottom"/>
          </w:tcPr>
          <w:p>
            <w:pPr>
              <w:pStyle w:val="TableContents"/>
              <w:spacing w:before="0" w:after="283"/>
              <w:jc w:val="right"/>
              <w:rPr/>
            </w:pPr>
            <w:r>
              <w:rPr/>
              <w:t>(11,331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77"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862" w:type="dxa"/>
            <w:tcBorders>
              <w:bottom w:val="double" w:sz="8" w:space="0" w:color="000000"/>
            </w:tcBorders>
            <w:shd w:fill="auto" w:val="clear"/>
            <w:tcMar>
              <w:bottom w:w="28" w:type="dxa"/>
            </w:tcMar>
            <w:vAlign w:val="bottom"/>
          </w:tcPr>
          <w:p>
            <w:pPr>
              <w:pStyle w:val="TableContents"/>
              <w:spacing w:before="0" w:after="283"/>
              <w:jc w:val="right"/>
              <w:rPr/>
            </w:pPr>
            <w:r>
              <w:rPr/>
              <w:t>10,083</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360"/>
        <w:jc w:val="left"/>
        <w:rPr>
          <w:rFonts w:ascii="Times New Roman" w:hAnsi="Times New Roman"/>
          <w:color w:val="000000"/>
          <w:sz w:val="20"/>
          <w:highlight w:val="white"/>
        </w:rPr>
      </w:pPr>
      <w:r>
        <w:rPr>
          <w:rFonts w:ascii="Times New Roman" w:hAnsi="Times New Roman"/>
          <w:color w:val="000000"/>
          <w:sz w:val="20"/>
          <w:highlight w:val="white"/>
        </w:rPr>
        <w:t>The Company recorded amortization expense of $2.9 million and $1.6 million during the years ended December 31, 2022 and 2021, respectively.</w:t>
      </w:r>
    </w:p>
    <w:p>
      <w:pPr>
        <w:pStyle w:val="TextBody"/>
        <w:spacing w:before="0" w:after="0"/>
        <w:jc w:val="left"/>
        <w:rPr>
          <w:color w:val="000000"/>
          <w:highlight w:val="white"/>
        </w:rPr>
      </w:pPr>
      <w:r>
        <w:rPr>
          <w:color w:val="000000"/>
          <w:highlight w:val="white"/>
        </w:rPr>
        <w:t> </w:t>
      </w:r>
    </w:p>
    <w:p>
      <w:pPr>
        <w:pStyle w:val="TextBody"/>
        <w:spacing w:before="0" w:after="0"/>
        <w:jc w:val="both"/>
        <w:rPr/>
      </w:pPr>
      <w:r>
        <w:rPr/>
      </w:r>
    </w:p>
    <w:p>
      <w:pPr>
        <w:pStyle w:val="TextBody"/>
        <w:spacing w:before="0" w:after="0"/>
        <w:ind w:left="0" w:right="0" w:firstLine="36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summarizes the estimated future amortization expense for the above intangible assets for the next five years (in thousands):</w:t>
      </w:r>
    </w:p>
    <w:p>
      <w:pPr>
        <w:pStyle w:val="TextBody"/>
        <w:spacing w:before="0" w:after="0"/>
        <w:jc w:val="left"/>
        <w:rPr>
          <w:rFonts w:ascii="Times New Roman" w:hAnsi="Times New Roman"/>
          <w:sz w:val="20"/>
        </w:rPr>
      </w:pPr>
      <w:r>
        <w:rPr>
          <w:rFonts w:ascii="Times New Roman" w:hAnsi="Times New Roman"/>
          <w:sz w:val="20"/>
        </w:rPr>
      </w:r>
    </w:p>
    <w:tbl>
      <w:tblPr>
        <w:tblW w:w="3495" w:type="dxa"/>
        <w:jc w:val="left"/>
        <w:tblInd w:w="0" w:type="dxa"/>
        <w:tblCellMar>
          <w:top w:w="0" w:type="dxa"/>
          <w:left w:w="0" w:type="dxa"/>
          <w:bottom w:w="0" w:type="dxa"/>
          <w:right w:w="0" w:type="dxa"/>
        </w:tblCellMar>
      </w:tblPr>
      <w:tblGrid>
        <w:gridCol w:w="2675"/>
        <w:gridCol w:w="60"/>
        <w:gridCol w:w="140"/>
        <w:gridCol w:w="560"/>
        <w:gridCol w:w="60"/>
      </w:tblGrid>
      <w:tr>
        <w:trPr/>
        <w:tc>
          <w:tcPr>
            <w:tcW w:w="2675" w:type="dxa"/>
            <w:tcBorders/>
            <w:shd w:fill="auto" w:val="clear"/>
            <w:vAlign w:val="bottom"/>
          </w:tcPr>
          <w:p>
            <w:pPr>
              <w:pStyle w:val="TableContents"/>
              <w:spacing w:before="0" w:after="283"/>
              <w:rPr/>
            </w:pPr>
            <w:r>
              <w:rPr/>
              <w:t>Years ending December 31:</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rPr/>
            </w:pPr>
            <w:r>
              <w:rPr/>
              <w:t>2023</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560" w:type="dxa"/>
            <w:tcBorders/>
            <w:shd w:fill="CCEEFF" w:val="clear"/>
            <w:vAlign w:val="bottom"/>
          </w:tcPr>
          <w:p>
            <w:pPr>
              <w:pStyle w:val="TableContents"/>
              <w:spacing w:before="0" w:after="0"/>
              <w:jc w:val="right"/>
              <w:rPr/>
            </w:pPr>
            <w:r>
              <w:rPr/>
              <w:t>2,871</w:t>
            </w:r>
          </w:p>
        </w:tc>
        <w:tc>
          <w:tcPr>
            <w:tcW w:w="60"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0"/>
              <w:rPr/>
            </w:pPr>
            <w:r>
              <w:rPr/>
              <w:t>2024</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pPr>
            <w:r>
              <w:rPr/>
              <w:t>2,871</w:t>
            </w:r>
          </w:p>
        </w:tc>
        <w:tc>
          <w:tcPr>
            <w:tcW w:w="60"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rPr/>
            </w:pPr>
            <w:r>
              <w:rPr/>
              <w:t>2025</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pPr>
            <w:r>
              <w:rPr/>
              <w:t>2,166</w:t>
            </w:r>
          </w:p>
        </w:tc>
        <w:tc>
          <w:tcPr>
            <w:tcW w:w="60" w:type="dxa"/>
            <w:tcBorders/>
            <w:shd w:fill="CCEEFF" w:val="clear"/>
            <w:vAlign w:val="bottom"/>
          </w:tcPr>
          <w:p>
            <w:pPr>
              <w:pStyle w:val="TableContents"/>
              <w:spacing w:before="0" w:after="283"/>
              <w:jc w:val="left"/>
              <w:rPr/>
            </w:pPr>
            <w:r>
              <w:rPr/>
              <w:t> </w:t>
            </w:r>
          </w:p>
        </w:tc>
      </w:tr>
      <w:tr>
        <w:trPr/>
        <w:tc>
          <w:tcPr>
            <w:tcW w:w="2675" w:type="dxa"/>
            <w:tcBorders/>
            <w:shd w:fill="auto" w:val="clear"/>
            <w:vAlign w:val="bottom"/>
          </w:tcPr>
          <w:p>
            <w:pPr>
              <w:pStyle w:val="TableContents"/>
              <w:spacing w:before="0" w:after="0"/>
              <w:rPr/>
            </w:pPr>
            <w:r>
              <w:rPr/>
              <w:t>2026</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pPr>
            <w:r>
              <w:rPr/>
              <w:t>1,461</w:t>
            </w:r>
          </w:p>
        </w:tc>
        <w:tc>
          <w:tcPr>
            <w:tcW w:w="60" w:type="dxa"/>
            <w:tcBorders/>
            <w:shd w:fill="auto" w:val="clear"/>
            <w:vAlign w:val="bottom"/>
          </w:tcPr>
          <w:p>
            <w:pPr>
              <w:pStyle w:val="TableContents"/>
              <w:spacing w:before="0" w:after="283"/>
              <w:jc w:val="left"/>
              <w:rPr/>
            </w:pPr>
            <w:r>
              <w:rPr/>
              <w:t> </w:t>
            </w:r>
          </w:p>
        </w:tc>
      </w:tr>
      <w:tr>
        <w:trPr/>
        <w:tc>
          <w:tcPr>
            <w:tcW w:w="2675" w:type="dxa"/>
            <w:tcBorders/>
            <w:shd w:fill="CCEEFF" w:val="clear"/>
            <w:vAlign w:val="bottom"/>
          </w:tcPr>
          <w:p>
            <w:pPr>
              <w:pStyle w:val="TableContents"/>
              <w:spacing w:before="0" w:after="0"/>
              <w:rPr/>
            </w:pPr>
            <w:r>
              <w:rPr/>
              <w:t>2027</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pPr>
            <w:r>
              <w:rPr/>
              <w:t>1,461</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36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Goodwill consists of the following (in thousands):</w:t>
      </w:r>
    </w:p>
    <w:p>
      <w:pPr>
        <w:pStyle w:val="TextBody"/>
        <w:spacing w:before="0" w:after="0"/>
        <w:jc w:val="left"/>
        <w:rPr/>
      </w:pPr>
      <w:r>
        <w:rPr/>
      </w:r>
    </w:p>
    <w:tbl>
      <w:tblPr>
        <w:tblW w:w="5920" w:type="dxa"/>
        <w:jc w:val="left"/>
        <w:tblInd w:w="0" w:type="dxa"/>
        <w:tblCellMar>
          <w:top w:w="0" w:type="dxa"/>
          <w:left w:w="0" w:type="dxa"/>
          <w:bottom w:w="0" w:type="dxa"/>
          <w:right w:w="0" w:type="dxa"/>
        </w:tblCellMar>
      </w:tblPr>
      <w:tblGrid>
        <w:gridCol w:w="4265"/>
        <w:gridCol w:w="60"/>
        <w:gridCol w:w="140"/>
        <w:gridCol w:w="560"/>
        <w:gridCol w:w="60"/>
        <w:gridCol w:w="60"/>
        <w:gridCol w:w="140"/>
        <w:gridCol w:w="560"/>
        <w:gridCol w:w="75"/>
      </w:tblGrid>
      <w:tr>
        <w:trPr/>
        <w:tc>
          <w:tcPr>
            <w:tcW w:w="4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6"/>
            <w:tcBorders/>
            <w:shd w:fill="auto" w:val="clear"/>
            <w:vAlign w:val="bottom"/>
          </w:tcPr>
          <w:p>
            <w:pPr>
              <w:pStyle w:val="TableContents"/>
              <w:spacing w:before="0" w:after="0"/>
              <w:jc w:val="center"/>
              <w:rPr>
                <w:b/>
              </w:rPr>
            </w:pPr>
            <w:r>
              <w:rPr>
                <w:b/>
              </w:rPr>
              <w:t>December 31,</w:t>
            </w:r>
          </w:p>
        </w:tc>
        <w:tc>
          <w:tcPr>
            <w:tcW w:w="75" w:type="dxa"/>
            <w:tcBorders/>
            <w:shd w:fill="auto" w:val="clear"/>
            <w:vAlign w:val="bottom"/>
          </w:tcPr>
          <w:p>
            <w:pPr>
              <w:pStyle w:val="TableContents"/>
              <w:spacing w:before="0" w:after="283"/>
              <w:rPr/>
            </w:pPr>
            <w:r>
              <w:rPr/>
              <w:t> </w:t>
            </w:r>
          </w:p>
        </w:tc>
      </w:tr>
      <w:tr>
        <w:trPr/>
        <w:tc>
          <w:tcPr>
            <w:tcW w:w="4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0"/>
              <w:jc w:val="center"/>
              <w:rPr>
                <w:b/>
              </w:rPr>
            </w:pPr>
            <w:r>
              <w:rPr>
                <w:b/>
              </w:rPr>
              <w:t>2021</w:t>
            </w:r>
          </w:p>
        </w:tc>
        <w:tc>
          <w:tcPr>
            <w:tcW w:w="75" w:type="dxa"/>
            <w:tcBorders/>
            <w:shd w:fill="auto" w:val="clear"/>
            <w:vAlign w:val="bottom"/>
          </w:tcPr>
          <w:p>
            <w:pPr>
              <w:pStyle w:val="TableContents"/>
              <w:spacing w:before="0" w:after="283"/>
              <w:rPr/>
            </w:pPr>
            <w:r>
              <w:rPr/>
              <w:t> </w:t>
            </w:r>
          </w:p>
        </w:tc>
      </w:tr>
      <w:tr>
        <w:trPr/>
        <w:tc>
          <w:tcPr>
            <w:tcW w:w="4265" w:type="dxa"/>
            <w:tcBorders/>
            <w:shd w:fill="CCEEFF" w:val="clear"/>
            <w:vAlign w:val="bottom"/>
          </w:tcPr>
          <w:p>
            <w:pPr>
              <w:pStyle w:val="TableContents"/>
              <w:spacing w:before="0" w:after="0"/>
              <w:rPr/>
            </w:pPr>
            <w:r>
              <w:rPr/>
              <w:t>Dermatology recurring procedures segment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7,958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7,958</w:t>
            </w:r>
          </w:p>
        </w:tc>
        <w:tc>
          <w:tcPr>
            <w:tcW w:w="75" w:type="dxa"/>
            <w:tcBorders/>
            <w:shd w:fill="CCEEFF" w:val="clear"/>
            <w:vAlign w:val="bottom"/>
          </w:tcPr>
          <w:p>
            <w:pPr>
              <w:pStyle w:val="TableContents"/>
              <w:spacing w:before="0" w:after="283"/>
              <w:rPr/>
            </w:pPr>
            <w:r>
              <w:rPr/>
              <w:t> </w:t>
            </w:r>
          </w:p>
        </w:tc>
      </w:tr>
      <w:tr>
        <w:trPr/>
        <w:tc>
          <w:tcPr>
            <w:tcW w:w="4265" w:type="dxa"/>
            <w:tcBorders/>
            <w:shd w:fill="auto" w:val="clear"/>
            <w:vAlign w:val="bottom"/>
          </w:tcPr>
          <w:p>
            <w:pPr>
              <w:pStyle w:val="TableContents"/>
              <w:spacing w:before="0" w:after="0"/>
              <w:rPr/>
            </w:pPr>
            <w:r>
              <w:rPr/>
              <w:t>Dermatology procedures equipment segment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845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845</w:t>
            </w:r>
          </w:p>
        </w:tc>
        <w:tc>
          <w:tcPr>
            <w:tcW w:w="75" w:type="dxa"/>
            <w:tcBorders/>
            <w:shd w:fill="auto" w:val="clear"/>
            <w:vAlign w:val="bottom"/>
          </w:tcPr>
          <w:p>
            <w:pPr>
              <w:pStyle w:val="TableContents"/>
              <w:spacing w:before="0" w:after="283"/>
              <w:rPr/>
            </w:pPr>
            <w:r>
              <w:rPr/>
              <w:t> </w:t>
            </w:r>
          </w:p>
        </w:tc>
      </w:tr>
      <w:tr>
        <w:trPr/>
        <w:tc>
          <w:tcPr>
            <w:tcW w:w="42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8,803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8,803</w:t>
            </w:r>
          </w:p>
        </w:tc>
        <w:tc>
          <w:tcPr>
            <w:tcW w:w="75" w:type="dxa"/>
            <w:tcBorders/>
            <w:shd w:fill="CCEEFF" w:val="clear"/>
            <w:vAlign w:val="bottom"/>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9. Accrued Expenses and Other Current Liabilities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180" w:right="0" w:firstLine="180"/>
        <w:jc w:val="left"/>
        <w:rPr>
          <w:rFonts w:ascii="Times New Roman" w:hAnsi="Times New Roman"/>
          <w:color w:val="000000"/>
          <w:sz w:val="20"/>
          <w:highlight w:val="white"/>
        </w:rPr>
      </w:pPr>
      <w:r>
        <w:rPr>
          <w:rFonts w:ascii="Times New Roman" w:hAnsi="Times New Roman"/>
          <w:color w:val="000000"/>
          <w:sz w:val="20"/>
          <w:highlight w:val="white"/>
        </w:rPr>
        <w:t>Accrued expenses and other current liabilities consist of the following (in thousands):</w:t>
      </w:r>
    </w:p>
    <w:p>
      <w:pPr>
        <w:pStyle w:val="TextBody"/>
        <w:spacing w:before="0" w:after="0"/>
        <w:jc w:val="left"/>
        <w:rPr>
          <w:rFonts w:ascii="Times New Roman" w:hAnsi="Times New Roman"/>
          <w:sz w:val="20"/>
        </w:rPr>
      </w:pPr>
      <w:r>
        <w:rPr>
          <w:rFonts w:ascii="Times New Roman" w:hAnsi="Times New Roman"/>
          <w:sz w:val="20"/>
        </w:rPr>
      </w:r>
    </w:p>
    <w:tbl>
      <w:tblPr>
        <w:tblW w:w="4945" w:type="dxa"/>
        <w:jc w:val="left"/>
        <w:tblInd w:w="0" w:type="dxa"/>
        <w:tblCellMar>
          <w:top w:w="0" w:type="dxa"/>
          <w:left w:w="0" w:type="dxa"/>
          <w:bottom w:w="0" w:type="dxa"/>
          <w:right w:w="0" w:type="dxa"/>
        </w:tblCellMar>
      </w:tblPr>
      <w:tblGrid>
        <w:gridCol w:w="3290"/>
        <w:gridCol w:w="60"/>
        <w:gridCol w:w="140"/>
        <w:gridCol w:w="560"/>
        <w:gridCol w:w="60"/>
        <w:gridCol w:w="60"/>
        <w:gridCol w:w="140"/>
        <w:gridCol w:w="560"/>
        <w:gridCol w:w="75"/>
      </w:tblGrid>
      <w:tr>
        <w:trPr/>
        <w:tc>
          <w:tcPr>
            <w:tcW w:w="32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center"/>
              <w:rPr/>
            </w:pPr>
            <w:r>
              <w:rPr/>
              <w:t> </w:t>
            </w:r>
          </w:p>
        </w:tc>
        <w:tc>
          <w:tcPr>
            <w:tcW w:w="1520" w:type="dxa"/>
            <w:gridSpan w:val="6"/>
            <w:tcBorders>
              <w:bottom w:val="single" w:sz="12" w:space="0" w:color="000000"/>
            </w:tcBorders>
            <w:shd w:fill="auto" w:val="clear"/>
            <w:tcMar>
              <w:bottom w:w="28" w:type="dxa"/>
            </w:tcMar>
            <w:vAlign w:val="bottom"/>
          </w:tcPr>
          <w:p>
            <w:pPr>
              <w:pStyle w:val="TableContents"/>
              <w:spacing w:before="0" w:after="283"/>
              <w:jc w:val="center"/>
              <w:rPr/>
            </w:pPr>
            <w:r>
              <w:rPr>
                <w:b/>
              </w:rPr>
              <w:t>December 31,</w:t>
            </w:r>
            <w:r>
              <w:rPr/>
              <w:t xml:space="preserve"> </w:t>
            </w:r>
          </w:p>
        </w:tc>
        <w:tc>
          <w:tcPr>
            <w:tcW w:w="75" w:type="dxa"/>
            <w:tcBorders/>
            <w:shd w:fill="auto"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2021</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rPr/>
            </w:pPr>
            <w:r>
              <w:rPr/>
              <w:t>Warranty obligations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560" w:type="dxa"/>
            <w:tcBorders/>
            <w:shd w:fill="CCEEFF" w:val="clear"/>
            <w:vAlign w:val="bottom"/>
          </w:tcPr>
          <w:p>
            <w:pPr>
              <w:pStyle w:val="TableContents"/>
              <w:spacing w:before="0" w:after="0"/>
              <w:jc w:val="right"/>
              <w:rPr/>
            </w:pPr>
            <w:r>
              <w:rPr/>
              <w:t>136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560" w:type="dxa"/>
            <w:tcBorders/>
            <w:shd w:fill="CCEEFF" w:val="clear"/>
            <w:vAlign w:val="bottom"/>
          </w:tcPr>
          <w:p>
            <w:pPr>
              <w:pStyle w:val="TableContents"/>
              <w:spacing w:before="0" w:after="0"/>
              <w:jc w:val="right"/>
              <w:rPr/>
            </w:pPr>
            <w:r>
              <w:rPr/>
              <w:t>59</w:t>
            </w:r>
          </w:p>
        </w:tc>
        <w:tc>
          <w:tcPr>
            <w:tcW w:w="75"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rPr/>
            </w:pPr>
            <w:r>
              <w:rPr/>
              <w:t>Compensation and related benefits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pPr>
            <w:r>
              <w:rPr/>
              <w:t>1,997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pPr>
            <w:r>
              <w:rPr/>
              <w:t>2,052</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rPr/>
            </w:pPr>
            <w:r>
              <w:rPr/>
              <w:t>State sales, use and other taxes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pPr>
            <w:r>
              <w:rPr/>
              <w:t>3,986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pPr>
            <w:r>
              <w:rPr/>
              <w:t>3,697</w:t>
            </w:r>
          </w:p>
        </w:tc>
        <w:tc>
          <w:tcPr>
            <w:tcW w:w="75" w:type="dxa"/>
            <w:tcBorders/>
            <w:shd w:fill="CCEEFF" w:val="clear"/>
            <w:vAlign w:val="bottom"/>
          </w:tcPr>
          <w:p>
            <w:pPr>
              <w:pStyle w:val="TableContents"/>
              <w:spacing w:before="0" w:after="283"/>
              <w:jc w:val="left"/>
              <w:rPr/>
            </w:pPr>
            <w:r>
              <w:rPr/>
              <w:t> </w:t>
            </w:r>
          </w:p>
        </w:tc>
      </w:tr>
      <w:tr>
        <w:trPr/>
        <w:tc>
          <w:tcPr>
            <w:tcW w:w="3290" w:type="dxa"/>
            <w:tcBorders/>
            <w:shd w:fill="auto" w:val="clear"/>
            <w:vAlign w:val="bottom"/>
          </w:tcPr>
          <w:p>
            <w:pPr>
              <w:pStyle w:val="TableContents"/>
              <w:spacing w:before="0" w:after="0"/>
              <w:rPr/>
            </w:pPr>
            <w:r>
              <w:rPr/>
              <w:t>Professional fees and other</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436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pPr>
            <w:r>
              <w:rPr/>
              <w:t>569</w:t>
            </w:r>
          </w:p>
        </w:tc>
        <w:tc>
          <w:tcPr>
            <w:tcW w:w="75" w:type="dxa"/>
            <w:tcBorders/>
            <w:shd w:fill="auto" w:val="clear"/>
            <w:vAlign w:val="bottom"/>
          </w:tcPr>
          <w:p>
            <w:pPr>
              <w:pStyle w:val="TableContents"/>
              <w:spacing w:before="0" w:after="283"/>
              <w:jc w:val="left"/>
              <w:rPr/>
            </w:pPr>
            <w:r>
              <w:rPr/>
              <w:t> </w:t>
            </w:r>
          </w:p>
        </w:tc>
      </w:tr>
      <w:tr>
        <w:trPr/>
        <w:tc>
          <w:tcPr>
            <w:tcW w:w="3290" w:type="dxa"/>
            <w:tcBorders/>
            <w:shd w:fill="CCEEFF" w:val="clear"/>
            <w:vAlign w:val="bottom"/>
          </w:tcPr>
          <w:p>
            <w:pPr>
              <w:pStyle w:val="TableContents"/>
              <w:spacing w:before="0" w:after="0"/>
              <w:rPr/>
            </w:pPr>
            <w:r>
              <w:rPr/>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6,555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560" w:type="dxa"/>
            <w:tcBorders>
              <w:bottom w:val="double" w:sz="8" w:space="0" w:color="000000"/>
            </w:tcBorders>
            <w:shd w:fill="CCEEFF" w:val="clear"/>
            <w:tcMar>
              <w:bottom w:w="28" w:type="dxa"/>
            </w:tcMar>
            <w:vAlign w:val="bottom"/>
          </w:tcPr>
          <w:p>
            <w:pPr>
              <w:pStyle w:val="TableContents"/>
              <w:spacing w:before="0" w:after="0"/>
              <w:jc w:val="right"/>
              <w:rPr/>
            </w:pPr>
            <w:r>
              <w:rPr/>
              <w:t>6,377</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color w:val="000000"/>
          <w:highlight w:val="white"/>
        </w:rPr>
      </w:pPr>
      <w:r>
        <w:rPr>
          <w:color w:val="000000"/>
          <w:highlight w:val="white"/>
        </w:rPr>
        <w:t> </w:t>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10. Note Payable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In December 2020, the Company had renewed its $7.3 million loan with a commercial bank pursuant to a one-year Fixed Rate – Term Promissory Note (the “Note”). The Company’s obligations under the Note were secured by an Assignment and Pledge of Time Deposit (“Time Deposit”), under which the Company had pledged to the commercial bank the proceeds of a time deposit account in the amount of the loan and recorded the time deposit and accrued interest as restricted cash on the balance sheet. The principal was due on December 30, 2021 with no penalties for prepayments. The interest rate was fixed at 1.40%. The secured time deposit had a fixed interest rate of 0.40%. The Company repaid the Note with the proceeds from the Time Deposit in September 2021.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11. Long-Term Debt</w:t>
      </w:r>
    </w:p>
    <w:p>
      <w:pPr>
        <w:pStyle w:val="TextBody"/>
        <w:spacing w:before="0" w:after="0"/>
        <w:jc w:val="both"/>
        <w:rPr>
          <w:color w:val="000000"/>
          <w:highlight w:val="white"/>
        </w:rPr>
      </w:pPr>
      <w:r>
        <w:rPr>
          <w:color w:val="000000"/>
          <w:highlight w:val="white"/>
        </w:rPr>
        <w:t> </w:t>
      </w:r>
    </w:p>
    <w:p>
      <w:pPr>
        <w:pStyle w:val="TextBody"/>
        <w:spacing w:before="0" w:after="0"/>
        <w:jc w:val="both"/>
        <w:rPr>
          <w:rFonts w:ascii="Times New Roman" w:hAnsi="Times New Roman"/>
          <w:b w:val="false"/>
          <w:i/>
          <w:color w:val="000000"/>
          <w:sz w:val="20"/>
          <w:highlight w:val="white"/>
        </w:rPr>
      </w:pPr>
      <w:r>
        <w:rPr>
          <w:rFonts w:ascii="Times New Roman" w:hAnsi="Times New Roman"/>
          <w:b w:val="false"/>
          <w:i/>
          <w:color w:val="000000"/>
          <w:sz w:val="20"/>
          <w:highlight w:val="white"/>
        </w:rPr>
        <w:t>Senior Term Facility</w:t>
      </w:r>
    </w:p>
    <w:p>
      <w:pPr>
        <w:pStyle w:val="TextBody"/>
        <w:spacing w:before="0" w:after="0"/>
        <w:jc w:val="both"/>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September 30, 2021, the Company entered into a credit and security agreement with MidCap Financial Trust, also acting as the administrative agent, and the lenders identified therein (“Senior Term Facility”). The Senior Term Facility provides for an $8.0 million senior term loan that was drawn upon by the Company upon executing the agreement. On September 30, 2021, the Company also repaid the outstanding principal and interest for its Note (Note 10) and the Economic Injury Disaster Loan. Borrowings under the Senior Term Facility bear interest at LIBOR (with a LIBOR floor rate of 0.50%) plus 7.50% per year and mature on September 1, 2026, unless terminated earlier. The interest rate was 11.72% and 8.00% as of December 31, 2022 and 2021, respectively. The Company is obligated to make monthly interest-only payments through September 30, 2024. From October 1, 2024 to the date of maturity, the Company will make 24 equal monthly principal payments plus interest, and all borrowings are secured by substantially all of the Company’s assets. The Senior Debt Facility was amended on January 10, 2022 to provide MidCap Financial Trust’s consent to the acquisition of TheraClear (Note 3). In September 2022, the Company amended the facility to transition, upon the cessation of LIBOR, to one-month Secured Overnight Financing Rate (“SOFR”), or such other applicable period, plus 0.10%, with a floor or 0.50%.</w:t>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may voluntarily prepay the outstanding term loan, with such prepayment of at least $5.0 million, at any time upon 30 days’ written notice. Upon prepayment, the Company will be required to pay a prepayment fee equal to (i) 3.00% of the outstanding principal prepaid or required to be prepaid (whichever is greater), if the prepayment is made between 12 months and 24 months after September 30, 2021, (ii) 2.00% of the outstanding principal prepaid or required to be prepaid (whichever is greater), if the prepayment is made between 24 months and 36 months after September 30, 2021, or (iii) 1.00% of the outstanding principal prepaid or required to be prepaid (whichever is greater), if the prepayment is made after 36 months after September 30, 2021 and prior to the maturity date.</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The Senior Term Facility contains certain customary representations and warranties, affirmative covenants and conditions. The Senior Term Facility also contains a number of negative covenants that subject the Company to certain exceptions and waivers and restrictions, as defined in the agreement. In addition, the Senior Term Facility contains a quarterly financial covenant that requires the Company to have a specified minimum amount of net revenue for the trailing 12-month period, with compliance measured on the last day of each fiscal quarter beginning on September 30, 2021. At December 31, 2022, the minimum net revenue threshold was $28.0 million. The minimum net revenue threshold will increase to $30.0 million by December 31, 2023. At December 31, 2022, the Company was in compliance with all financial covenants within the Senior Term Facility.</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The Senior Term Facility contains customary indemnification obligations and customary events of default, including, among other things, (i) nonpayment, (ii) breach of warranty, (iii) nonperformance of covenants and obligations, (iv) default on other indebtedness, (v) judgments, (vi) change of control, (vii) bankruptcy and insolvency, (viii) impairment of security, (ix) regulatory matters, (x) failure to remain a publicly traded company, and (xi) material adverse event. Where an event of default arises from certain bankruptcy events, the commitments shall automatically and immediately terminate and the principal of, and interest then outstanding on, all of the loans shall become immediately due and payable. Subject to certain notice requirements and other conditions, upon the occurrence of other events of default, including the occurrence of a condition having or reasonably likely to have a material adverse effect, commitments may be terminated and the principal of, and interest then outstanding on, all of the loans may become immediately due and payable. At December 31, 2022, no event of default had occurred and the Company believed that events or conditions having a material adverse effect, giving rise to an acceleration of any amounts outstanding under the Senior Term Facility, had not occurred and was remote.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 xml:space="preserve">In connection with entering into the Senior Term Facility, the Company issued an affiliate of the lender a warrant to purchase 373,626 shares of the Company’s common stock at an initial exercise price of $1.82 per share. The warrant is equity classified and is exercisable at any time on or prior to the tenth anniversary of its issue date. The estimated fair value of the warrants was $0.6 million and determined using the Black-Scholes option pricing model. The key assumptions used in the Black-Scholes option pricing model were (i) an expected term of ten years, (ii) expected volatility of 88.6%, (iii) a risk-free rate of 1.50% and (iv) no estimated dividend yield. In addition, the Company incurred third party costs and lender fees of $0.1 million. The proceeds were allocated on a basis that approximates the relative fair value method. The fair value of the warrants and fees incurred were recorded as a debt discount and are being recognized as interest expense over the life of the Senior Term Facility using the effective-interest method. The unamortized debt discount was $0.5 million and $0.7 million as of December 31, 2022 and 2021, respectively. The Company recognized interest expense of $0.9 million during the year ended December 31, 2022, of which $0.2 million was related to the amortization of the debt discount. The Company recognized interest expense of $0.3 million during the year ended December 31, 2021, of which $37 thousand was related to the amortization of the debt discount. </w:t>
      </w:r>
    </w:p>
    <w:p>
      <w:pPr>
        <w:pStyle w:val="TextBody"/>
        <w:spacing w:before="0" w:after="0"/>
        <w:jc w:val="left"/>
        <w:rPr/>
      </w:pPr>
      <w:r>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Future minimum principal payments at December 31, 2022 are as follows (in thousands):</w:t>
      </w:r>
    </w:p>
    <w:p>
      <w:pPr>
        <w:pStyle w:val="TextBody"/>
        <w:spacing w:before="0" w:after="0"/>
        <w:jc w:val="both"/>
        <w:rPr/>
      </w:pPr>
      <w:r>
        <w:rPr/>
      </w:r>
    </w:p>
    <w:p>
      <w:pPr>
        <w:pStyle w:val="TextBody"/>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525" w:type="dxa"/>
        <w:jc w:val="left"/>
        <w:tblInd w:w="0" w:type="dxa"/>
        <w:tblCellMar>
          <w:top w:w="0" w:type="dxa"/>
          <w:left w:w="0" w:type="dxa"/>
          <w:bottom w:w="0" w:type="dxa"/>
          <w:right w:w="0" w:type="dxa"/>
        </w:tblCellMar>
      </w:tblPr>
      <w:tblGrid>
        <w:gridCol w:w="2690"/>
        <w:gridCol w:w="60"/>
        <w:gridCol w:w="140"/>
        <w:gridCol w:w="560"/>
        <w:gridCol w:w="75"/>
      </w:tblGrid>
      <w:tr>
        <w:trPr/>
        <w:tc>
          <w:tcPr>
            <w:tcW w:w="2690" w:type="dxa"/>
            <w:tcBorders/>
            <w:shd w:fill="auto" w:val="clear"/>
            <w:vAlign w:val="bottom"/>
          </w:tcPr>
          <w:p>
            <w:pPr>
              <w:pStyle w:val="TableContents"/>
              <w:spacing w:before="0" w:after="0"/>
              <w:rPr/>
            </w:pPr>
            <w:r>
              <w:rPr/>
              <w:t>Years ending December 31:</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rPr/>
            </w:pPr>
            <w:r>
              <w:rPr/>
              <w:t>2024</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560" w:type="dxa"/>
            <w:tcBorders/>
            <w:shd w:fill="CCEEFF" w:val="clear"/>
            <w:vAlign w:val="bottom"/>
          </w:tcPr>
          <w:p>
            <w:pPr>
              <w:pStyle w:val="TableContents"/>
              <w:spacing w:before="0" w:after="0"/>
              <w:jc w:val="right"/>
              <w:rPr/>
            </w:pPr>
            <w:r>
              <w:rPr/>
              <w:t>1,000</w:t>
            </w:r>
          </w:p>
        </w:tc>
        <w:tc>
          <w:tcPr>
            <w:tcW w:w="75" w:type="dxa"/>
            <w:tcBorders/>
            <w:shd w:fill="CCEEFF"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0"/>
              <w:rPr/>
            </w:pPr>
            <w:r>
              <w:rPr/>
              <w:t>2025</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pPr>
            <w:r>
              <w:rPr/>
              <w:t>4,000</w:t>
            </w:r>
          </w:p>
        </w:tc>
        <w:tc>
          <w:tcPr>
            <w:tcW w:w="75"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rPr/>
            </w:pPr>
            <w:r>
              <w:rPr/>
              <w:t>2026</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pPr>
            <w:r>
              <w:rPr/>
              <w:t>3,000</w:t>
            </w:r>
          </w:p>
        </w:tc>
        <w:tc>
          <w:tcPr>
            <w:tcW w:w="75" w:type="dxa"/>
            <w:tcBorders/>
            <w:shd w:fill="CCEEFF" w:val="clear"/>
            <w:vAlign w:val="bottom"/>
          </w:tcPr>
          <w:p>
            <w:pPr>
              <w:pStyle w:val="TableContents"/>
              <w:spacing w:before="0" w:after="283"/>
              <w:jc w:val="left"/>
              <w:rPr/>
            </w:pPr>
            <w:r>
              <w:rPr/>
              <w:t> </w:t>
            </w:r>
          </w:p>
        </w:tc>
      </w:tr>
      <w:tr>
        <w:trPr/>
        <w:tc>
          <w:tcPr>
            <w:tcW w:w="26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560" w:type="dxa"/>
            <w:tcBorders>
              <w:bottom w:val="double" w:sz="8" w:space="0" w:color="000000"/>
            </w:tcBorders>
            <w:shd w:fill="auto" w:val="clear"/>
            <w:tcMar>
              <w:bottom w:w="28" w:type="dxa"/>
            </w:tcMar>
            <w:vAlign w:val="bottom"/>
          </w:tcPr>
          <w:p>
            <w:pPr>
              <w:pStyle w:val="TableContents"/>
              <w:spacing w:before="0" w:after="0"/>
              <w:jc w:val="right"/>
              <w:rPr/>
            </w:pPr>
            <w:r>
              <w:rPr/>
              <w:t>8,000</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i/>
          <w:color w:val="000000"/>
          <w:sz w:val="20"/>
          <w:highlight w:val="white"/>
        </w:rPr>
      </w:pPr>
      <w:r>
        <w:rPr>
          <w:rFonts w:ascii="Times New Roman" w:hAnsi="Times New Roman"/>
          <w:i/>
          <w:color w:val="000000"/>
          <w:sz w:val="20"/>
          <w:highlight w:val="white"/>
        </w:rPr>
        <w:t>Paycheck Protection Program Loan</w:t>
      </w:r>
    </w:p>
    <w:p>
      <w:pPr>
        <w:pStyle w:val="TextBody"/>
        <w:spacing w:before="0" w:after="0"/>
        <w:jc w:val="both"/>
        <w:rPr>
          <w:rFonts w:ascii="Times New Roman" w:hAnsi="Times New Roman"/>
          <w:i/>
          <w:sz w:val="20"/>
        </w:rPr>
      </w:pPr>
      <w:r>
        <w:rPr>
          <w:rFonts w:ascii="Times New Roman" w:hAnsi="Times New Roman"/>
          <w:i/>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On April 22, 2020, the Company closed a loan of $2.0 million (the “PPP Loan”) from a commercial bank, pursuant to the Paycheck Protection Program (“PPP”) administered by the Small Business Administration (the “SBA”) pursuant to the CARES Act. The PPP Loan would have matured on May 1, 2022 and bore an interest rate of 1% per year. Payments of principal and interest of any unforgiven balance were scheduled to commence December 1, 2020, but were deferred until the SBA approved of the forgiveness amount. In the second quarter of 2021, the Company received notification that the PPP Loan had been forgiven. Accordingly, the Company recorded a gain on forgiveness of debt in the amount of the loan of $2.0 million.</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jc w:val="both"/>
        <w:rPr>
          <w:rFonts w:ascii="Times New Roman" w:hAnsi="Times New Roman"/>
          <w:i/>
          <w:color w:val="000000"/>
          <w:sz w:val="20"/>
          <w:highlight w:val="white"/>
        </w:rPr>
      </w:pPr>
      <w:r>
        <w:rPr>
          <w:rFonts w:ascii="Times New Roman" w:hAnsi="Times New Roman"/>
          <w:i/>
          <w:color w:val="000000"/>
          <w:sz w:val="20"/>
          <w:highlight w:val="white"/>
        </w:rPr>
        <w:t>Economic Injury Disaster Loan</w:t>
      </w:r>
    </w:p>
    <w:p>
      <w:pPr>
        <w:pStyle w:val="TextBody"/>
        <w:spacing w:before="0" w:after="0"/>
        <w:jc w:val="both"/>
        <w:rPr>
          <w:rFonts w:ascii="Times New Roman" w:hAnsi="Times New Roman"/>
          <w:i w:val="false"/>
          <w:caps w:val="false"/>
          <w:smallCaps w:val="false"/>
          <w:sz w:val="20"/>
        </w:rPr>
      </w:pPr>
      <w:r>
        <w:rPr>
          <w:rFonts w:ascii="Times New Roman" w:hAnsi="Times New Roman"/>
          <w:i w:val="false"/>
          <w:caps w:val="false"/>
          <w:smallCaps w:val="false"/>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b w:val="false"/>
          <w:i w:val="false"/>
          <w:caps w:val="false"/>
          <w:smallCaps w:val="false"/>
          <w:color w:val="000000"/>
          <w:sz w:val="20"/>
          <w:highlight w:val="white"/>
        </w:rPr>
        <w:t>On May 22, 2020, the Company secured</w:t>
      </w:r>
      <w:r>
        <w:rPr>
          <w:rFonts w:ascii="Times New Roman" w:hAnsi="Times New Roman"/>
          <w:color w:val="000000"/>
          <w:sz w:val="20"/>
          <w:highlight w:val="white"/>
        </w:rPr>
        <w:t xml:space="preserve"> the EIDL Loan</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from the SBA under its Economic Injury Disaster Loan (“EIDL”) assistance program in light of the impact of the COVID-19 pandemic on the Company’s business. The principal amount of the EIDL Loan was up to $0.5 million, with proceeds to be used for working capital purposes, and was collateralized by all the Company’s assets. On June 12, 2020, the Company received these funds from the SBA. Interest accrued at the rate of 3.75% per year. Installment payments, including principal and interest, were originally due monthly beginning March 26, 2021 (12 months from the date of the promissory note) in the amount of $2 thousand. In March 2021, the SBA deferred payments on the EIDL loans by an additional 12 months. The balance of principal and interest was payable over the next 30 years from the date of the promissory note. There were no penalties for prepayment. Based upon guidance issued by the SBA on June 19, 2020, the EIDL Loan was not required to be refinanced by the PPP Loan. On September 30, 2021, the Company repaid this loan in full.</w:t>
      </w:r>
    </w:p>
    <w:p>
      <w:pPr>
        <w:pStyle w:val="TextBody"/>
        <w:spacing w:before="0" w:after="0"/>
        <w:jc w:val="left"/>
        <w:rPr/>
      </w:pPr>
      <w:r>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12. Commitments and Contingencies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val="false"/>
          <w:i/>
          <w:color w:val="000000"/>
          <w:sz w:val="20"/>
          <w:highlight w:val="white"/>
        </w:rPr>
      </w:pPr>
      <w:r>
        <w:rPr>
          <w:rFonts w:ascii="Times New Roman" w:hAnsi="Times New Roman"/>
          <w:b w:val="false"/>
          <w:i/>
          <w:color w:val="000000"/>
          <w:sz w:val="20"/>
          <w:highlight w:val="white"/>
        </w:rPr>
        <w:t>Legal Matters</w:t>
      </w:r>
    </w:p>
    <w:p>
      <w:pPr>
        <w:pStyle w:val="TextBody"/>
        <w:spacing w:before="0" w:after="0"/>
        <w:jc w:val="left"/>
        <w:rPr>
          <w:rFonts w:ascii="Times New Roman" w:hAnsi="Times New Roman"/>
          <w:b w:val="false"/>
          <w:i/>
          <w:sz w:val="20"/>
        </w:rPr>
      </w:pPr>
      <w:r>
        <w:rPr>
          <w:rFonts w:ascii="Times New Roman" w:hAnsi="Times New Roman"/>
          <w:b w:val="false"/>
          <w:i/>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pStyle w:val="TextBody"/>
        <w:spacing w:before="0" w:after="0"/>
        <w:jc w:val="left"/>
        <w:rPr/>
      </w:pPr>
      <w:r>
        <w:rPr/>
      </w:r>
    </w:p>
    <w:p>
      <w:pPr>
        <w:pStyle w:val="TextBody"/>
        <w:spacing w:before="0" w:after="0"/>
        <w:ind w:left="0" w:right="0" w:firstLine="54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On April 1, 2022, a proposed representative class action under California’s Private Attorneys General Act (“PAGA”) was filed in Superior Court of California, County of San Diego against the Company and an employment agency (“Co-Defendant”) which provided the Company with temporary employees. The complaint alleges various violations of the California Labor Code, including California’s wage and hour laws, relating to current and former non-exempt employees of the Company. The complaint seeks class status and payments for allegedly unpaid compensation and attorney’s fees. In a related matter, the attorneys in this matter and the proposed class representative, in a letter dated March 12, 2022, to the California Labor &amp; Workforce Development Agency made nearly identical claims seeking the right to pursue a PAGA action against the Company and the employment agency. On or about May 16, 2022, the plaintiff filed a First Amended Complaint adding a PAGA claim to the action. On or about June 2, 2022, the plaintiff filed an Application to Dismiss Class and Individual Claim without prejudice, in an attempt to pursue a PAGA only complaint. On or about June 30, 2022, the parties entered into a stipulation to allow the plaintiff to file a Second Amended Complaint to clarify the PAGA claim and to stay the pending action to allow an attempt at resolution through mediation. The mediation was held on February 23, 2023, and the matter was settled on terms agreeable to the Company. The settlement, which would require the Company to pay $0.1 million, is tentative and subject to court approval and the right of individual class members to reject the settlement and proceed on their own. As of December 31, 2022, $0.1 million has been accrued for this matter.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highlight w:val="white"/>
        </w:rPr>
      </w:pPr>
      <w:r>
        <w:rPr>
          <w:rFonts w:ascii="Times New Roman" w:hAnsi="Times New Roman"/>
          <w:i/>
          <w:color w:val="000000"/>
          <w:sz w:val="20"/>
          <w:highlight w:val="white"/>
        </w:rPr>
        <w:t>Sales and Use Tax Matters</w:t>
      </w:r>
    </w:p>
    <w:p>
      <w:pPr>
        <w:pStyle w:val="TextBody"/>
        <w:spacing w:before="0" w:after="0"/>
        <w:jc w:val="left"/>
        <w:rPr>
          <w:rFonts w:ascii="Times New Roman" w:hAnsi="Times New Roman"/>
          <w:i/>
          <w:sz w:val="20"/>
        </w:rPr>
      </w:pPr>
      <w:r>
        <w:rPr>
          <w:rFonts w:ascii="Times New Roman" w:hAnsi="Times New Roman"/>
          <w:i/>
          <w:sz w:val="20"/>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records state sales tax collected and remitted for its customers on dermatology procedures equipment sales on a net basis, excluded from revenues. The Company’s sales tax expense that is not presently being collected and remitted for the recurring revenues business is recorded in general and administrative expenses within the consolidated statements of operations.</w:t>
      </w:r>
    </w:p>
    <w:p>
      <w:pPr>
        <w:pStyle w:val="TextBody"/>
        <w:spacing w:before="0" w:after="0"/>
        <w:jc w:val="left"/>
        <w:rPr/>
      </w:pPr>
      <w:r>
        <w:rPr/>
      </w:r>
    </w:p>
    <w:p>
      <w:pPr>
        <w:pStyle w:val="TextBody"/>
        <w:spacing w:before="0" w:after="0"/>
        <w:ind w:left="0" w:right="0" w:firstLine="18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Times New Roman" w:hAnsi="Times New Roman"/>
          <w:b w:val="false"/>
          <w:i/>
          <w:caps w:val="false"/>
          <w:smallCaps w:val="false"/>
          <w:color w:val="000000"/>
          <w:sz w:val="20"/>
          <w:highlight w:val="white"/>
        </w:rPr>
        <w:t>Liabilities</w:t>
      </w:r>
      <w:r>
        <w:rPr>
          <w:rFonts w:ascii="Times New Roman" w:hAnsi="Times New Roman"/>
          <w:b w:val="false"/>
          <w:i w:val="false"/>
          <w:caps w:val="false"/>
          <w:smallCaps w:val="false"/>
          <w:color w:val="000000"/>
          <w:sz w:val="20"/>
          <w:highlight w:val="white"/>
        </w:rPr>
        <w:t>,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pStyle w:val="TextBody"/>
        <w:spacing w:before="0" w:after="0"/>
        <w:jc w:val="left"/>
        <w:rPr/>
      </w:pPr>
      <w:r>
        <w:rPr/>
      </w:r>
    </w:p>
    <w:p>
      <w:pPr>
        <w:pStyle w:val="TextBody"/>
        <w:spacing w:before="0" w:after="0"/>
        <w:ind w:left="0" w:right="0" w:firstLine="18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Several states have assessed the Company an aggregate of $2.4 million including penalties and interest for the period from March 2014 through April 2020. The Company received notification that an administrative state judge issued an opinion finding in favor of the Company that the sale of XTRAC treatment codes was not taxable as sales tax with respect to that state’s first assessment. This ruling covers $1.5 million of the total $2.4 million of assessments. The relevant taxing authority filed an appeal of the administrative law judge’s finding and, following the submission of legal briefs by both sides and oral argument held in January 2022, on May 6, 2022, the Company received a written decision from the State of New York Tax Appeals Tribunal (“Tribunal”) overturning the favorable sales tax determination of the administrative law judge. The Company filed an appeal of the Tribunal’s decision, and posted the required appellate bond requiring posting cash collateral, with the New York State Appellate Division, and is awaiting for the appellate court to set a briefing and oral argument schedule.</w:t>
      </w:r>
    </w:p>
    <w:p>
      <w:pPr>
        <w:pStyle w:val="TextBody"/>
        <w:spacing w:before="0" w:after="0"/>
        <w:jc w:val="left"/>
        <w:rPr/>
      </w:pPr>
      <w:r>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is also in another jurisdiction’s administrative process of appeal with respect to the remaining $0.9 million of assessments, and the timing of the process has been impacted by the COVID-19 pandemic. If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w:t>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precise scope, timing and time periods at issue, as well as the final outcomes of the investigations and judicial proceedings, remain uncertain. Accordingly, the Company’s estimate may change from time to time, and actual losses could vary.</w:t>
      </w:r>
    </w:p>
    <w:p>
      <w:pPr>
        <w:pStyle w:val="TextBody"/>
        <w:spacing w:before="0" w:after="0"/>
        <w:jc w:val="left"/>
        <w:rPr/>
      </w:pPr>
      <w:r>
        <w:rPr/>
      </w:r>
    </w:p>
    <w:p>
      <w:pPr>
        <w:pStyle w:val="TextBody"/>
        <w:spacing w:before="0" w:after="0"/>
        <w:jc w:val="left"/>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Employee 401(k) Savings Plan</w:t>
      </w:r>
    </w:p>
    <w:p>
      <w:pPr>
        <w:pStyle w:val="TextBody"/>
        <w:spacing w:before="0" w:after="0"/>
        <w:jc w:val="left"/>
        <w:rPr/>
      </w:pPr>
      <w:r>
        <w:rPr/>
      </w:r>
    </w:p>
    <w:p>
      <w:pPr>
        <w:pStyle w:val="TextBody"/>
        <w:spacing w:before="0" w:after="0"/>
        <w:jc w:val="left"/>
        <w:rPr/>
      </w:pPr>
      <w:r>
        <w:rPr/>
      </w:r>
    </w:p>
    <w:p>
      <w:pPr>
        <w:pStyle w:val="TextBody"/>
        <w:spacing w:before="0" w:after="0"/>
        <w:ind w:left="0" w:right="0" w:firstLine="540"/>
        <w:jc w:val="left"/>
        <w:rPr>
          <w:rFonts w:ascii="Times New Roman" w:hAnsi="Times New Roman"/>
          <w:color w:val="000000"/>
          <w:sz w:val="20"/>
          <w:highlight w:val="white"/>
        </w:rPr>
      </w:pPr>
      <w:r>
        <w:rPr>
          <w:rFonts w:ascii="Times New Roman" w:hAnsi="Times New Roman"/>
          <w:color w:val="000000"/>
          <w:sz w:val="20"/>
          <w:highlight w:val="white"/>
        </w:rPr>
        <w:t>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percentage of the employee’s contribution. For each of the years ended December 31, 2022 and 2021, the Company’s contributions to the plan were $0.3 million.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color w:val="000000"/>
          <w:sz w:val="20"/>
          <w:highlight w:val="white"/>
        </w:rPr>
      </w:pPr>
      <w:r>
        <w:rPr>
          <w:rFonts w:ascii="Times New Roman" w:hAnsi="Times New Roman"/>
          <w:i/>
          <w:color w:val="000000"/>
          <w:sz w:val="20"/>
          <w:highlight w:val="white"/>
        </w:rPr>
        <w:t>Milestone Payments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January 2022, the Company entered into a Development Agreement (the “Development Agreement”) with Theravant Corporation (“Theravant”). Under the Development Agreement, the Company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has a three-year term, unless terminated sooner by either party, and is being accounted for separately from the TheraClear asset acquisition discussed in Note 3.</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13. Stockholders’ Equity</w:t>
      </w:r>
    </w:p>
    <w:p>
      <w:pPr>
        <w:pStyle w:val="TextBody"/>
        <w:spacing w:before="0" w:after="0"/>
        <w:jc w:val="both"/>
        <w:rPr>
          <w:color w:val="000000"/>
          <w:highlight w:val="white"/>
        </w:rPr>
      </w:pPr>
      <w:r>
        <w:rPr>
          <w:color w:val="000000"/>
          <w:highlight w:val="white"/>
        </w:rPr>
        <w:t> </w:t>
      </w:r>
    </w:p>
    <w:p>
      <w:pPr>
        <w:pStyle w:val="TextBody"/>
        <w:spacing w:before="0" w:after="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Preferred Stock</w:t>
      </w:r>
    </w:p>
    <w:p>
      <w:pPr>
        <w:pStyle w:val="TextBody"/>
        <w:spacing w:before="0" w:after="0"/>
        <w:jc w:val="both"/>
        <w:rPr/>
      </w:pPr>
      <w:r>
        <w:rPr/>
      </w:r>
    </w:p>
    <w:p>
      <w:pPr>
        <w:pStyle w:val="TextBody"/>
        <w:spacing w:before="0" w:after="0"/>
        <w:ind w:left="0" w:right="0" w:hanging="0"/>
        <w:jc w:val="left"/>
        <w:rPr>
          <w:rFonts w:ascii="Times New Roman" w:hAnsi="Times New Roman"/>
          <w:b w:val="false"/>
          <w:i/>
          <w:caps w:val="false"/>
          <w:smallCaps w:val="false"/>
          <w:color w:val="000000"/>
          <w:spacing w:val="0"/>
          <w:sz w:val="20"/>
          <w:highlight w:val="white"/>
        </w:rPr>
      </w:pPr>
      <w:r>
        <w:rPr>
          <w:rFonts w:ascii="Times New Roman" w:hAnsi="Times New Roman"/>
          <w:b w:val="false"/>
          <w:i/>
          <w:caps w:val="false"/>
          <w:smallCaps w:val="false"/>
          <w:color w:val="000000"/>
          <w:spacing w:val="0"/>
          <w:sz w:val="20"/>
          <w:highlight w:val="white"/>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Company is authorized to issue preferred stock with such designation, rights and preferences as may be determined from time to time by the Company’s Board of Directors. 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Each share of Series C convertible preferred stock has a stated value of $1,000 and is convertible into shares of common stock at a conversion price equal to $2.69. No preferred shares were outstanding as of December 31, 2022 and 2021.</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160"/>
        <w:ind w:left="0" w:right="0" w:firstLine="720"/>
        <w:jc w:val="left"/>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Common Stock</w:t>
      </w:r>
    </w:p>
    <w:p>
      <w:pPr>
        <w:pStyle w:val="TextBody"/>
        <w:spacing w:before="0" w:after="0"/>
        <w:jc w:val="both"/>
        <w:rPr/>
      </w:pPr>
      <w:r>
        <w:rPr/>
      </w:r>
    </w:p>
    <w:p>
      <w:pPr>
        <w:pStyle w:val="TextBody"/>
        <w:spacing w:before="0" w:after="16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issued 358,367 shares to Theravant as consideration for the TheraClear asset acquisition (Note 3) during the year ended December 31, 2022.</w:t>
      </w:r>
    </w:p>
    <w:p>
      <w:pPr>
        <w:pStyle w:val="TextBody"/>
        <w:spacing w:before="0" w:after="0"/>
        <w:jc w:val="both"/>
        <w:rPr/>
      </w:pPr>
      <w:r>
        <w:rPr/>
      </w:r>
    </w:p>
    <w:p>
      <w:pPr>
        <w:pStyle w:val="TextBody"/>
        <w:spacing w:before="0" w:after="16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issued 329,076 shares upon the exercise of options and 234,558 shares upon the vesting of restricted stock during the year ended December 31, 2021.</w:t>
      </w:r>
    </w:p>
    <w:p>
      <w:pPr>
        <w:pStyle w:val="TextBody"/>
        <w:spacing w:before="0" w:after="0"/>
        <w:jc w:val="both"/>
        <w:rPr/>
      </w:pPr>
      <w:r>
        <w:rPr/>
      </w:r>
    </w:p>
    <w:p>
      <w:pPr>
        <w:pStyle w:val="TextBody"/>
        <w:spacing w:before="0" w:after="0"/>
        <w:ind w:left="0" w:right="0" w:firstLine="720"/>
        <w:jc w:val="left"/>
        <w:rPr>
          <w:rFonts w:ascii="Times New Roman" w:hAnsi="Times New Roman"/>
          <w:b/>
          <w:i/>
          <w:color w:val="000000"/>
          <w:sz w:val="20"/>
          <w:highlight w:val="white"/>
        </w:rPr>
      </w:pPr>
      <w:r>
        <w:rPr>
          <w:rFonts w:ascii="Times New Roman" w:hAnsi="Times New Roman"/>
          <w:b w:val="false"/>
          <w:i w:val="false"/>
          <w:caps w:val="false"/>
          <w:smallCaps w:val="false"/>
          <w:color w:val="000000"/>
          <w:sz w:val="20"/>
          <w:highlight w:val="white"/>
        </w:rPr>
        <w:t>In October 2021, the Company entered into an equity distribution agreement under which the Company may sell up to $11.0 million of its shares of common stock in registered “at-the-market” offerings. The shares will be offered at prevailing market prices, and the Company will pay commissions of up to 3.0% of the gross proceeds from the sale of shares sold through the Company’s agent, which may act as an agent and/or principal. The Company has no obligation to sell any shares under this agreement and may, at any time, suspend solicitations under this agreement. No shares of the Company’s common stock have been sold under this distribution agreement during fiscal 2022 or 2021</w:t>
      </w:r>
      <w:r>
        <w:rPr>
          <w:rFonts w:ascii="Times New Roman" w:hAnsi="Times New Roman"/>
          <w:b/>
          <w:i/>
          <w:caps w:val="false"/>
          <w:smallCaps w:val="false"/>
          <w:color w:val="000000"/>
          <w:sz w:val="20"/>
          <w:highlight w:val="white"/>
        </w:rPr>
        <w:t>.</w:t>
      </w:r>
    </w:p>
    <w:p>
      <w:pPr>
        <w:pStyle w:val="TextBody"/>
        <w:spacing w:before="0" w:after="0"/>
        <w:jc w:val="both"/>
        <w:rPr/>
      </w:pPr>
      <w:r>
        <w:rPr/>
      </w:r>
    </w:p>
    <w:p>
      <w:pPr>
        <w:pStyle w:val="TextBody"/>
        <w:spacing w:before="0" w:after="0"/>
        <w:ind w:left="0" w:right="0" w:firstLine="720"/>
        <w:jc w:val="both"/>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r>
    </w:p>
    <w:p>
      <w:pPr>
        <w:pStyle w:val="TextBody"/>
        <w:spacing w:before="0" w:after="0"/>
        <w:jc w:val="left"/>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Common Stock Warrants</w:t>
      </w:r>
    </w:p>
    <w:p>
      <w:pPr>
        <w:pStyle w:val="TextBody"/>
        <w:spacing w:before="0" w:after="0"/>
        <w:jc w:val="left"/>
        <w:rPr>
          <w:caps w:val="false"/>
          <w:smallCaps w:val="false"/>
          <w:color w:val="000000"/>
          <w:highlight w:val="white"/>
        </w:rPr>
      </w:pPr>
      <w:r>
        <w:rPr>
          <w:caps w:val="false"/>
          <w:smallCaps w:val="false"/>
          <w:color w:val="000000"/>
          <w:highlight w:val="white"/>
        </w:rPr>
        <w:t> </w:t>
      </w:r>
    </w:p>
    <w:p>
      <w:pPr>
        <w:pStyle w:val="TextBody"/>
        <w:spacing w:before="0" w:after="0"/>
        <w:jc w:val="both"/>
        <w:rPr/>
      </w:pPr>
      <w:r>
        <w:rPr/>
      </w:r>
    </w:p>
    <w:p>
      <w:pPr>
        <w:pStyle w:val="TextBody"/>
        <w:spacing w:before="0" w:after="0"/>
        <w:ind w:left="0" w:right="0" w:firstLine="720"/>
        <w:jc w:val="left"/>
        <w:rPr>
          <w:rFonts w:ascii="Times New Roman" w:hAnsi="Times New Roman"/>
          <w:b/>
          <w:i/>
          <w:color w:val="000000"/>
          <w:sz w:val="20"/>
          <w:highlight w:val="white"/>
        </w:rPr>
      </w:pPr>
      <w:r>
        <w:rPr>
          <w:rFonts w:ascii="Times New Roman" w:hAnsi="Times New Roman"/>
          <w:b w:val="false"/>
          <w:i w:val="false"/>
          <w:caps w:val="false"/>
          <w:smallCaps w:val="false"/>
          <w:color w:val="000000"/>
          <w:sz w:val="20"/>
          <w:highlight w:val="white"/>
        </w:rPr>
        <w:t>In September 2021 and in connection with entering into the Company’s Senior Term Facility (Note 11), the Company issued a warrant to purchase 373,626 shares of the Company’s common stock at an initial exercise price of $1.82 per share. The warrant is equity classified and is exercisable at any time on or prior to the tenth anniversary of its issue date. As of December 31, 2022, the warrant remains outstanding in its entirety.</w:t>
      </w:r>
      <w:r>
        <w:rPr>
          <w:rFonts w:ascii="Times New Roman" w:hAnsi="Times New Roman"/>
          <w:b/>
          <w:i/>
          <w:color w:val="000000"/>
          <w:sz w:val="20"/>
          <w:highlight w:val="white"/>
        </w:rPr>
        <w:t xml:space="preserve"> </w:t>
      </w:r>
    </w:p>
    <w:p>
      <w:pPr>
        <w:pStyle w:val="TextBody"/>
        <w:spacing w:before="0" w:after="0"/>
        <w:jc w:val="both"/>
        <w:rPr>
          <w:rFonts w:ascii="Times New Roman" w:hAnsi="Times New Roman"/>
          <w:b/>
          <w:i/>
          <w:caps w:val="false"/>
          <w:smallCaps w:val="false"/>
          <w:color w:val="000000"/>
          <w:sz w:val="20"/>
          <w:highlight w:val="white"/>
        </w:rPr>
      </w:pPr>
      <w:r>
        <w:rPr>
          <w:rFonts w:ascii="Times New Roman" w:hAnsi="Times New Roman"/>
          <w:b/>
          <w:i/>
          <w:caps w:val="false"/>
          <w:smallCaps w:val="false"/>
          <w:color w:val="000000"/>
          <w:sz w:val="20"/>
          <w:highlight w:val="white"/>
        </w:rPr>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14. Stock-Based Compensation</w:t>
      </w:r>
    </w:p>
    <w:p>
      <w:pPr>
        <w:pStyle w:val="TextBody"/>
        <w:spacing w:before="0" w:after="0"/>
        <w:jc w:val="both"/>
        <w:rPr>
          <w:color w:val="000000"/>
          <w:highlight w:val="white"/>
        </w:rPr>
      </w:pPr>
      <w:r>
        <w:rPr>
          <w:color w:val="000000"/>
          <w:highlight w:val="white"/>
        </w:rPr>
        <w:t> </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Company’s 2016 Omnibus Incentive Stock Plan (“2016 Plan”), as amended, has reserved up to 7,832,651 shares of common stock for future issuance. As of December 31, 2022, there were 3,193,706 shares of common stock remaining available for issuance for awards under the 2016 Plan.</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measures share</w:t>
        <w:noBreakHyphen/>
        <w:t>based awards at their grant</w:t>
        <w:noBreakHyphen/>
        <w:t>date fair value and records compensation expense on a straight</w:t>
        <w:noBreakHyphen/>
        <w:t>line basis over the requisite service period of the awards. The Company recorded share</w:t>
        <w:noBreakHyphen/>
        <w:t>based compensation expense of $1.3 million and $1.6 million (for all awards and modifications, if any) for the years ended December 31, 2022 and 2021, respectively, within general and administrative expenses in the accompanying consolidated statements of operations. During the year ended December 31, 2022, the Company also recorded share-based compensation expense of $0.2 million within selling and marketing expenses in the accompanying consolidated statement of operations.</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March 30, 2022, the Company granted 160,000 stock-based options to the Chief Executive Officer. The vesting of these awards is contingent upon meeting one or more financial goals (a performance condition) or a common stock share price (a market condition). The fair value of stock-based awards is determined at the date of grant. Stock-based compensation expense is recorded ratably for market condition awards during the requisite service period and is not reversed, except for forfeitures, at the vesting date regardless of whether the market condition is met. Stock-based compensation expense for performance condition awards is re-evaluated at each reporting period based on the probability of the achievement of the goal. As of December 31, 2022, the market condition was not met and 60,000 of the stock-based options were forfeited.</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F-25</w:t>
      </w:r>
    </w:p>
    <w:p>
      <w:pPr>
        <w:pStyle w:val="HorizontalLine"/>
        <w:spacing w:before="200" w:after="200"/>
        <w:jc w:val="both"/>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connection with the separation of the Company’s Chief Executive Officer in February 2021, the Company accelerated the vesting of all unvested options to purchase shares of common stock and extended the period to exercise to August 22, 2021. This acceleration and the extension of the period to vest met the modification criteria for accounting purposes. For these modifications, the Company calculated and recorded additional compensation expense of $0.2 million.</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r>
    </w:p>
    <w:p>
      <w:pPr>
        <w:pStyle w:val="TextBody"/>
        <w:spacing w:before="0" w:after="0"/>
        <w:jc w:val="left"/>
        <w:rPr>
          <w:rFonts w:ascii="Times New Roman" w:hAnsi="Times New Roman"/>
          <w:b w:val="false"/>
          <w:i/>
          <w:color w:val="000000"/>
          <w:sz w:val="20"/>
          <w:highlight w:val="white"/>
        </w:rPr>
      </w:pPr>
      <w:r>
        <w:rPr>
          <w:rFonts w:ascii="Times New Roman" w:hAnsi="Times New Roman"/>
          <w:b w:val="false"/>
          <w:i/>
          <w:color w:val="000000"/>
          <w:sz w:val="20"/>
          <w:highlight w:val="white"/>
        </w:rPr>
        <w:t>Stock Options</w:t>
      </w:r>
    </w:p>
    <w:p>
      <w:pPr>
        <w:pStyle w:val="TextBody"/>
        <w:spacing w:before="0" w:after="0"/>
        <w:jc w:val="both"/>
        <w:rPr>
          <w:rFonts w:ascii="Times New Roman" w:hAnsi="Times New Roman"/>
          <w:b/>
          <w:i/>
          <w:sz w:val="20"/>
        </w:rPr>
      </w:pPr>
      <w:r>
        <w:rPr>
          <w:rFonts w:ascii="Times New Roman" w:hAnsi="Times New Roman"/>
          <w:b/>
          <w:i/>
          <w:sz w:val="20"/>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summarizes stock option activity for the years ended December 31, 2022 and 2021:</w:t>
      </w:r>
    </w:p>
    <w:p>
      <w:pPr>
        <w:pStyle w:val="TextBody"/>
        <w:spacing w:before="0" w:after="0"/>
        <w:jc w:val="left"/>
        <w:rPr/>
      </w:pPr>
      <w:r>
        <w:rPr/>
      </w:r>
    </w:p>
    <w:tbl>
      <w:tblPr>
        <w:tblW w:w="6278" w:type="dxa"/>
        <w:jc w:val="left"/>
        <w:tblInd w:w="0" w:type="dxa"/>
        <w:tblCellMar>
          <w:top w:w="0" w:type="dxa"/>
          <w:left w:w="0" w:type="dxa"/>
          <w:bottom w:w="0" w:type="dxa"/>
          <w:right w:w="0" w:type="dxa"/>
        </w:tblCellMar>
      </w:tblPr>
      <w:tblGrid>
        <w:gridCol w:w="2840"/>
        <w:gridCol w:w="60"/>
        <w:gridCol w:w="70"/>
        <w:gridCol w:w="1059"/>
        <w:gridCol w:w="80"/>
        <w:gridCol w:w="60"/>
        <w:gridCol w:w="219"/>
        <w:gridCol w:w="670"/>
        <w:gridCol w:w="60"/>
        <w:gridCol w:w="60"/>
        <w:gridCol w:w="141"/>
        <w:gridCol w:w="899"/>
        <w:gridCol w:w="60"/>
      </w:tblGrid>
      <w:tr>
        <w:trPr/>
        <w:tc>
          <w:tcPr>
            <w:tcW w:w="2840"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Number of</w:t>
            </w:r>
          </w:p>
          <w:p>
            <w:pPr>
              <w:pStyle w:val="TableContents"/>
              <w:spacing w:before="0" w:after="0"/>
              <w:jc w:val="center"/>
              <w:rPr>
                <w:rFonts w:ascii="Times New Roman" w:hAnsi="Times New Roman"/>
                <w:b/>
                <w:sz w:val="20"/>
              </w:rPr>
            </w:pPr>
            <w:r>
              <w:rPr>
                <w:rFonts w:ascii="Times New Roman" w:hAnsi="Times New Roman"/>
                <w:b/>
                <w:sz w:val="20"/>
              </w:rPr>
              <w:t>Shares under</w:t>
            </w:r>
          </w:p>
          <w:p>
            <w:pPr>
              <w:pStyle w:val="TableContents"/>
              <w:spacing w:before="0" w:after="0"/>
              <w:jc w:val="center"/>
              <w:rPr>
                <w:rFonts w:ascii="Times New Roman" w:hAnsi="Times New Roman"/>
                <w:b/>
                <w:sz w:val="20"/>
              </w:rPr>
            </w:pPr>
            <w:r>
              <w:rPr>
                <w:rFonts w:ascii="Times New Roman" w:hAnsi="Times New Roman"/>
                <w:b/>
                <w:sz w:val="20"/>
              </w:rPr>
              <w:t>Option Plan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w:t>
            </w:r>
          </w:p>
          <w:p>
            <w:pPr>
              <w:pStyle w:val="TableContents"/>
              <w:spacing w:before="0" w:after="0"/>
              <w:jc w:val="center"/>
              <w:rPr>
                <w:rFonts w:ascii="Times New Roman" w:hAnsi="Times New Roman"/>
                <w:b/>
                <w:sz w:val="20"/>
              </w:rPr>
            </w:pPr>
            <w:r>
              <w:rPr>
                <w:rFonts w:ascii="Times New Roman" w:hAnsi="Times New Roman"/>
                <w:b/>
                <w:sz w:val="20"/>
              </w:rPr>
              <w:t xml:space="preserve">Average </w:t>
            </w:r>
          </w:p>
          <w:p>
            <w:pPr>
              <w:pStyle w:val="TableContents"/>
              <w:spacing w:before="0" w:after="0"/>
              <w:jc w:val="center"/>
              <w:rPr>
                <w:rFonts w:ascii="Times New Roman" w:hAnsi="Times New Roman"/>
                <w:b/>
                <w:sz w:val="20"/>
              </w:rPr>
            </w:pPr>
            <w:r>
              <w:rPr>
                <w:rFonts w:ascii="Times New Roman" w:hAnsi="Times New Roman"/>
                <w:b/>
                <w:sz w:val="20"/>
              </w:rPr>
              <w:t xml:space="preserve">Exercise </w:t>
            </w:r>
          </w:p>
          <w:p>
            <w:pPr>
              <w:pStyle w:val="TableContents"/>
              <w:spacing w:before="0" w:after="0"/>
              <w:jc w:val="center"/>
              <w:rPr>
                <w:rFonts w:ascii="Times New Roman" w:hAnsi="Times New Roman"/>
                <w:b/>
                <w:sz w:val="20"/>
              </w:rPr>
            </w:pPr>
            <w:r>
              <w:rPr>
                <w:rFonts w:ascii="Times New Roman" w:hAnsi="Times New Roman"/>
                <w:b/>
                <w:sz w:val="20"/>
              </w:rPr>
              <w:t xml:space="preserve">Price per </w:t>
            </w:r>
          </w:p>
          <w:p>
            <w:pPr>
              <w:pStyle w:val="TableContents"/>
              <w:spacing w:before="0" w:after="0"/>
              <w:jc w:val="center"/>
              <w:rPr>
                <w:rFonts w:ascii="Times New Roman" w:hAnsi="Times New Roman"/>
                <w:b/>
                <w:sz w:val="20"/>
              </w:rPr>
            </w:pPr>
            <w:r>
              <w:rPr>
                <w:rFonts w:ascii="Times New Roman" w:hAnsi="Times New Roman"/>
                <w:b/>
                <w:sz w:val="20"/>
              </w:rPr>
              <w:t>Option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w:t>
            </w:r>
          </w:p>
          <w:p>
            <w:pPr>
              <w:pStyle w:val="TableContents"/>
              <w:spacing w:before="0" w:after="0"/>
              <w:jc w:val="center"/>
              <w:rPr>
                <w:rFonts w:ascii="Times New Roman" w:hAnsi="Times New Roman"/>
                <w:b/>
                <w:sz w:val="20"/>
              </w:rPr>
            </w:pPr>
            <w:r>
              <w:rPr>
                <w:rFonts w:ascii="Times New Roman" w:hAnsi="Times New Roman"/>
                <w:b/>
                <w:sz w:val="20"/>
              </w:rPr>
              <w:t>Average</w:t>
            </w:r>
          </w:p>
          <w:p>
            <w:pPr>
              <w:pStyle w:val="TableContents"/>
              <w:spacing w:before="0" w:after="0"/>
              <w:jc w:val="center"/>
              <w:rPr>
                <w:rFonts w:ascii="Times New Roman" w:hAnsi="Times New Roman"/>
                <w:b/>
                <w:sz w:val="20"/>
              </w:rPr>
            </w:pPr>
            <w:r>
              <w:rPr>
                <w:rFonts w:ascii="Times New Roman" w:hAnsi="Times New Roman"/>
                <w:b/>
                <w:sz w:val="20"/>
              </w:rPr>
              <w:t>Remaining</w:t>
            </w:r>
          </w:p>
          <w:p>
            <w:pPr>
              <w:pStyle w:val="TableContents"/>
              <w:spacing w:before="0" w:after="0"/>
              <w:jc w:val="center"/>
              <w:rPr>
                <w:rFonts w:ascii="Times New Roman" w:hAnsi="Times New Roman"/>
                <w:b/>
                <w:sz w:val="20"/>
              </w:rPr>
            </w:pPr>
            <w:r>
              <w:rPr>
                <w:rFonts w:ascii="Times New Roman" w:hAnsi="Times New Roman"/>
                <w:b/>
                <w:sz w:val="20"/>
              </w:rPr>
              <w:t>Contractual</w:t>
            </w:r>
          </w:p>
          <w:p>
            <w:pPr>
              <w:pStyle w:val="TableContents"/>
              <w:spacing w:before="0" w:after="0"/>
              <w:jc w:val="center"/>
              <w:rPr>
                <w:rFonts w:ascii="Times New Roman" w:hAnsi="Times New Roman"/>
                <w:b/>
                <w:sz w:val="20"/>
              </w:rPr>
            </w:pPr>
            <w:r>
              <w:rPr>
                <w:rFonts w:ascii="Times New Roman" w:hAnsi="Times New Roman"/>
                <w:b/>
                <w:sz w:val="20"/>
              </w:rPr>
              <w:t xml:space="preserve">Life (in </w:t>
            </w:r>
          </w:p>
          <w:p>
            <w:pPr>
              <w:pStyle w:val="TableContents"/>
              <w:spacing w:before="0" w:after="0"/>
              <w:jc w:val="center"/>
              <w:rPr>
                <w:rFonts w:ascii="Times New Roman" w:hAnsi="Times New Roman"/>
                <w:b/>
                <w:sz w:val="20"/>
              </w:rPr>
            </w:pPr>
            <w:r>
              <w:rPr>
                <w:rFonts w:ascii="Times New Roman" w:hAnsi="Times New Roman"/>
                <w:b/>
                <w:sz w:val="20"/>
              </w:rPr>
              <w:t>years)</w:t>
            </w:r>
          </w:p>
        </w:tc>
        <w:tc>
          <w:tcPr>
            <w:tcW w:w="60" w:type="dxa"/>
            <w:tcBorders/>
            <w:shd w:fill="auto" w:val="clear"/>
            <w:vAlign w:val="bottom"/>
          </w:tcPr>
          <w:p>
            <w:pPr>
              <w:pStyle w:val="TableContents"/>
              <w:spacing w:before="0" w:after="283"/>
              <w:jc w:val="left"/>
              <w:rPr/>
            </w:pPr>
            <w:r>
              <w:rPr/>
              <w:t> </w:t>
            </w:r>
          </w:p>
        </w:tc>
      </w:tr>
      <w:tr>
        <w:trPr/>
        <w:tc>
          <w:tcPr>
            <w:tcW w:w="28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Outstanding at January 1, 2021</w:t>
            </w:r>
          </w:p>
        </w:tc>
        <w:tc>
          <w:tcPr>
            <w:tcW w:w="60"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5,292,888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0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r>
      <w:tr>
        <w:trPr/>
        <w:tc>
          <w:tcPr>
            <w:tcW w:w="28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2,463,714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28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(1,557,628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04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r>
      <w:tr>
        <w:trPr/>
        <w:tc>
          <w:tcPr>
            <w:tcW w:w="28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auto" w:val="clear"/>
            <w:vAlign w:val="bottom"/>
          </w:tcPr>
          <w:p>
            <w:pPr>
              <w:pStyle w:val="TableContents"/>
              <w:spacing w:before="0" w:after="283"/>
              <w:jc w:val="right"/>
              <w:rPr/>
            </w:pPr>
            <w:r>
              <w:rPr/>
              <w:t> </w:t>
            </w:r>
          </w:p>
        </w:tc>
        <w:tc>
          <w:tcPr>
            <w:tcW w:w="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(2,260,361</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r>
      <w:tr>
        <w:trPr/>
        <w:tc>
          <w:tcPr>
            <w:tcW w:w="28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Outstanding at December 31, 2021</w:t>
            </w:r>
          </w:p>
        </w:tc>
        <w:tc>
          <w:tcPr>
            <w:tcW w:w="60"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3,938,613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7.91</w:t>
            </w:r>
          </w:p>
        </w:tc>
        <w:tc>
          <w:tcPr>
            <w:tcW w:w="60" w:type="dxa"/>
            <w:tcBorders/>
            <w:shd w:fill="CCEEFF" w:val="clear"/>
            <w:vAlign w:val="bottom"/>
          </w:tcPr>
          <w:p>
            <w:pPr>
              <w:pStyle w:val="TableContents"/>
              <w:spacing w:before="0" w:after="283"/>
              <w:jc w:val="left"/>
              <w:rPr/>
            </w:pPr>
            <w:r>
              <w:rPr/>
              <w:t> </w:t>
            </w:r>
          </w:p>
        </w:tc>
      </w:tr>
      <w:tr>
        <w:trPr/>
        <w:tc>
          <w:tcPr>
            <w:tcW w:w="28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70" w:type="dxa"/>
            <w:tcBorders/>
            <w:shd w:fill="auto" w:val="clear"/>
            <w:vAlign w:val="bottom"/>
          </w:tcPr>
          <w:p>
            <w:pPr>
              <w:pStyle w:val="TableContents"/>
              <w:spacing w:before="0" w:after="283"/>
              <w:jc w:val="left"/>
              <w:rPr/>
            </w:pPr>
            <w:r>
              <w:rPr/>
              <w:t> </w:t>
            </w:r>
          </w:p>
        </w:tc>
        <w:tc>
          <w:tcPr>
            <w:tcW w:w="105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1,000,000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8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spacing w:before="0" w:after="283"/>
              <w:jc w:val="right"/>
              <w:rPr/>
            </w:pPr>
            <w:r>
              <w:rPr/>
              <w:t> </w:t>
            </w:r>
          </w:p>
        </w:tc>
        <w:tc>
          <w:tcPr>
            <w:tcW w:w="70"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(15,000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r>
      <w:tr>
        <w:trPr/>
        <w:tc>
          <w:tcPr>
            <w:tcW w:w="28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auto" w:val="clear"/>
            <w:vAlign w:val="bottom"/>
          </w:tcPr>
          <w:p>
            <w:pPr>
              <w:pStyle w:val="TableContents"/>
              <w:spacing w:before="0" w:after="283"/>
              <w:jc w:val="right"/>
              <w:rPr/>
            </w:pPr>
            <w:r>
              <w:rPr/>
              <w:t> </w:t>
            </w:r>
          </w:p>
        </w:tc>
        <w:tc>
          <w:tcPr>
            <w:tcW w:w="7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(448,899</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28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Outstanding at December 31, 2022</w:t>
            </w:r>
          </w:p>
        </w:tc>
        <w:tc>
          <w:tcPr>
            <w:tcW w:w="60" w:type="dxa"/>
            <w:tcBorders/>
            <w:shd w:fill="CCEEFF" w:val="clear"/>
            <w:vAlign w:val="bottom"/>
          </w:tcPr>
          <w:p>
            <w:pPr>
              <w:pStyle w:val="TableContents"/>
              <w:spacing w:before="0" w:after="283"/>
              <w:jc w:val="right"/>
              <w:rPr/>
            </w:pPr>
            <w:r>
              <w:rPr/>
              <w:t> </w:t>
            </w:r>
          </w:p>
        </w:tc>
        <w:tc>
          <w:tcPr>
            <w:tcW w:w="7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4,474,714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8.02</w:t>
            </w:r>
          </w:p>
        </w:tc>
        <w:tc>
          <w:tcPr>
            <w:tcW w:w="60" w:type="dxa"/>
            <w:tcBorders/>
            <w:shd w:fill="CCEEFF" w:val="clear"/>
            <w:vAlign w:val="bottom"/>
          </w:tcPr>
          <w:p>
            <w:pPr>
              <w:pStyle w:val="TableContents"/>
              <w:spacing w:before="0" w:after="283"/>
              <w:jc w:val="left"/>
              <w:rPr/>
            </w:pPr>
            <w:r>
              <w:rPr/>
              <w:t> </w:t>
            </w:r>
          </w:p>
        </w:tc>
      </w:tr>
      <w:tr>
        <w:trPr/>
        <w:tc>
          <w:tcPr>
            <w:tcW w:w="28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Exercisable at December 31, 2022</w:t>
            </w:r>
          </w:p>
        </w:tc>
        <w:tc>
          <w:tcPr>
            <w:tcW w:w="60" w:type="dxa"/>
            <w:tcBorders/>
            <w:shd w:fill="auto" w:val="clear"/>
            <w:vAlign w:val="bottom"/>
          </w:tcPr>
          <w:p>
            <w:pPr>
              <w:pStyle w:val="TableContents"/>
              <w:spacing w:before="0" w:after="283"/>
              <w:jc w:val="right"/>
              <w:rPr/>
            </w:pPr>
            <w:r>
              <w:rPr/>
              <w:t> </w:t>
            </w:r>
          </w:p>
        </w:tc>
        <w:tc>
          <w:tcPr>
            <w:tcW w:w="7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59"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2,202,792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7.28</w:t>
            </w:r>
          </w:p>
        </w:tc>
        <w:tc>
          <w:tcPr>
            <w:tcW w:w="60"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72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weighted</w:t>
        <w:noBreakHyphen/>
        <w:t>average grant date fair value of options granted was $1.06 and $1.27 per share during the years ended December 31, 2022 and 2021, respectively. As of December 31, 2022, the total unrecognized compensation expense related to unvested stock option awards was $2.3 million, which the Company expects to recognize over a weighted</w:t>
        <w:noBreakHyphen/>
        <w:t>average period of approximately 2.2 years. There was no aggregate intrinsic value of options outstanding and options exercisable at December 31, 2022 or of options that were exercised during the year ended December 31, 2022. The aggregate intrinsic value of options outstanding and options exercisable at December 31, 2021 was $26 thousand and $4 thousand, respectively, and the aggregate intrinsic value of options that were exercised during the year ended December 31, 2021 was $0.5 million.</w:t>
      </w:r>
    </w:p>
    <w:p>
      <w:pPr>
        <w:pStyle w:val="TextBody"/>
        <w:spacing w:before="0" w:after="0"/>
        <w:jc w:val="left"/>
        <w:rPr/>
      </w:pPr>
      <w:r>
        <w:rPr/>
      </w:r>
    </w:p>
    <w:p>
      <w:pPr>
        <w:pStyle w:val="TextBody"/>
        <w:spacing w:before="0" w:after="0"/>
        <w:ind w:left="0" w:right="0" w:firstLine="72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During the year ended December 31, 2021, there were 1,557,628 options that were exercised on a cashless basis at $1.12 per share resulting in the net issuance of 329,076 shares of common stock.</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fair value of options is estimated using the Black Scholes option pricing model which takes into account inputs such as the exercise price, the value of the underlying common stock at the grant date, expected term, expected volatility, risk free interest rate and dividend yield. The fair value of each grant of options during the year ended December 31, 2022 and 2021 was determined using the methods and assumptions discussed below.</w:t>
      </w:r>
    </w:p>
    <w:p>
      <w:pPr>
        <w:pStyle w:val="TextBody"/>
        <w:spacing w:before="0" w:after="0"/>
        <w:jc w:val="left"/>
        <w:rPr>
          <w:color w:val="000000"/>
          <w:highlight w:val="white"/>
        </w:rPr>
      </w:pPr>
      <w:r>
        <w:rPr>
          <w:color w:val="000000"/>
          <w:highlight w:val="whit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left"/>
              <w:rPr/>
            </w:pPr>
            <w:r>
              <w:rPr/>
              <w:t> </w:t>
            </w:r>
          </w:p>
        </w:tc>
        <w:tc>
          <w:tcPr>
            <w:tcW w:w="170" w:type="dxa"/>
            <w:tcBorders/>
            <w:shd w:fill="auto" w:val="clear"/>
            <w:vAlign w:val="center"/>
          </w:tcPr>
          <w:p>
            <w:pPr>
              <w:pStyle w:val="TableContents"/>
              <w:spacing w:before="0" w:after="0"/>
              <w:jc w:val="left"/>
              <w:rPr/>
            </w:pPr>
            <w:r>
              <w:rPr/>
              <w:t>●</w:t>
            </w:r>
          </w:p>
        </w:tc>
        <w:tc>
          <w:tcPr>
            <w:tcW w:w="9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expected term of employee options is based on the observed and expected time to full-vesting, forfeiture and exercise. Groups of employees that have similar historical exercise behavior are considered separately for valuation purposes. Options expire up to a maximum of ten years from the date of grant.</w:t>
            </w:r>
          </w:p>
        </w:tc>
      </w:tr>
    </w:tbl>
    <w:p>
      <w:pPr>
        <w:pStyle w:val="TextBody"/>
        <w:spacing w:before="0" w:after="0"/>
        <w:jc w:val="left"/>
        <w:rPr>
          <w:color w:val="000000"/>
          <w:highlight w:val="white"/>
        </w:rPr>
      </w:pPr>
      <w:r>
        <w:rPr>
          <w:color w:val="000000"/>
          <w:highlight w:val="white"/>
        </w:rPr>
        <w:t> </w:t>
      </w:r>
    </w:p>
    <w:tbl>
      <w:tblPr>
        <w:tblW w:w="7510" w:type="dxa"/>
        <w:jc w:val="left"/>
        <w:tblInd w:w="0" w:type="dxa"/>
        <w:tblCellMar>
          <w:top w:w="0" w:type="dxa"/>
          <w:left w:w="0" w:type="dxa"/>
          <w:bottom w:w="0" w:type="dxa"/>
          <w:right w:w="0" w:type="dxa"/>
        </w:tblCellMar>
      </w:tblPr>
      <w:tblGrid>
        <w:gridCol w:w="75"/>
        <w:gridCol w:w="170"/>
        <w:gridCol w:w="7265"/>
      </w:tblGrid>
      <w:tr>
        <w:trPr/>
        <w:tc>
          <w:tcPr>
            <w:tcW w:w="75" w:type="dxa"/>
            <w:tcBorders/>
            <w:shd w:fill="auto" w:val="clear"/>
            <w:vAlign w:val="center"/>
          </w:tcPr>
          <w:p>
            <w:pPr>
              <w:pStyle w:val="TableContents"/>
              <w:spacing w:before="0" w:after="283"/>
              <w:jc w:val="left"/>
              <w:rPr/>
            </w:pPr>
            <w:r>
              <w:rPr/>
              <w:t> </w:t>
            </w:r>
          </w:p>
        </w:tc>
        <w:tc>
          <w:tcPr>
            <w:tcW w:w="170" w:type="dxa"/>
            <w:tcBorders/>
            <w:shd w:fill="auto" w:val="clear"/>
            <w:vAlign w:val="center"/>
          </w:tcPr>
          <w:p>
            <w:pPr>
              <w:pStyle w:val="TableContents"/>
              <w:spacing w:before="0" w:after="0"/>
              <w:jc w:val="left"/>
              <w:rPr/>
            </w:pPr>
            <w:r>
              <w:rPr/>
              <w:t>●</w:t>
            </w:r>
          </w:p>
        </w:tc>
        <w:tc>
          <w:tcPr>
            <w:tcW w:w="7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expected volatility is based on historical volatility of the Company’s common stock.</w:t>
            </w:r>
          </w:p>
        </w:tc>
      </w:tr>
    </w:tbl>
    <w:p>
      <w:pPr>
        <w:pStyle w:val="TextBody"/>
        <w:spacing w:before="0" w:after="0"/>
        <w:jc w:val="both"/>
        <w:rPr>
          <w:color w:val="000000"/>
          <w:highlight w:val="white"/>
        </w:rPr>
      </w:pPr>
      <w:r>
        <w:rPr>
          <w:color w:val="000000"/>
          <w:highlight w:val="whit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risk-free interest rate is based on the interest rate payable on U.S. Treasury securities in effect at the time of grant for a period that is commensurate with the assumed expected term.</w:t>
            </w:r>
          </w:p>
        </w:tc>
      </w:tr>
    </w:tbl>
    <w:p>
      <w:pPr>
        <w:pStyle w:val="TextBody"/>
        <w:spacing w:before="0" w:after="0"/>
        <w:jc w:val="left"/>
        <w:rPr>
          <w:color w:val="000000"/>
          <w:highlight w:val="white"/>
        </w:rPr>
      </w:pPr>
      <w:r>
        <w:rPr>
          <w:color w:val="000000"/>
          <w:highlight w:val="whit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expected dividend yield is none because the Company has not historically paid and does not expect for the foreseeable future to pay a dividend on its ordinary shares.</w:t>
            </w:r>
          </w:p>
        </w:tc>
      </w:tr>
    </w:tbl>
    <w:p>
      <w:pPr>
        <w:pStyle w:val="TextBody"/>
        <w:spacing w:before="0" w:after="0"/>
        <w:jc w:val="left"/>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For the years ended December 31, 2022 and 2021, the grant date fair value of all option grants was estimated at the time of grant using the Black-Scholes option-pricing model using the following weighted average assumptions:</w:t>
      </w:r>
    </w:p>
    <w:p>
      <w:pPr>
        <w:pStyle w:val="TextBody"/>
        <w:spacing w:before="0" w:after="0"/>
        <w:jc w:val="left"/>
        <w:rPr>
          <w:color w:val="000000"/>
          <w:highlight w:val="white"/>
        </w:rPr>
      </w:pPr>
      <w:r>
        <w:rPr>
          <w:color w:val="000000"/>
          <w:highlight w:val="white"/>
        </w:rPr>
        <w:t> </w:t>
      </w:r>
    </w:p>
    <w:tbl>
      <w:tblPr>
        <w:tblW w:w="3595" w:type="dxa"/>
        <w:jc w:val="left"/>
        <w:tblInd w:w="0" w:type="dxa"/>
        <w:tblCellMar>
          <w:top w:w="0" w:type="dxa"/>
          <w:left w:w="0" w:type="dxa"/>
          <w:bottom w:w="0" w:type="dxa"/>
          <w:right w:w="0" w:type="dxa"/>
        </w:tblCellMar>
      </w:tblPr>
      <w:tblGrid>
        <w:gridCol w:w="2000"/>
        <w:gridCol w:w="60"/>
        <w:gridCol w:w="60"/>
        <w:gridCol w:w="485"/>
        <w:gridCol w:w="185"/>
        <w:gridCol w:w="60"/>
        <w:gridCol w:w="60"/>
        <w:gridCol w:w="485"/>
        <w:gridCol w:w="200"/>
      </w:tblGrid>
      <w:tr>
        <w:trPr/>
        <w:tc>
          <w:tcPr>
            <w:tcW w:w="2000"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133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 xml:space="preserve">Year Ended </w:t>
            </w:r>
          </w:p>
          <w:p>
            <w:pPr>
              <w:pStyle w:val="TableContents"/>
              <w:spacing w:before="0" w:after="0"/>
              <w:jc w:val="center"/>
              <w:rPr>
                <w:rFonts w:ascii="Times New Roman" w:hAnsi="Times New Roman"/>
                <w:b/>
                <w:sz w:val="20"/>
              </w:rPr>
            </w:pPr>
            <w:r>
              <w:rPr>
                <w:rFonts w:ascii="Times New Roman" w:hAnsi="Times New Roman"/>
                <w:b/>
                <w:sz w:val="20"/>
              </w:rPr>
              <w:t>December 31,</w:t>
            </w:r>
          </w:p>
        </w:tc>
        <w:tc>
          <w:tcPr>
            <w:tcW w:w="200" w:type="dxa"/>
            <w:tcBorders/>
            <w:shd w:fill="auto" w:val="clear"/>
            <w:vAlign w:val="bottom"/>
          </w:tcPr>
          <w:p>
            <w:pPr>
              <w:pStyle w:val="TableContents"/>
              <w:spacing w:before="0" w:after="283"/>
              <w:jc w:val="left"/>
              <w:rPr/>
            </w:pPr>
            <w:r>
              <w:rPr/>
              <w:t> </w:t>
            </w:r>
          </w:p>
        </w:tc>
      </w:tr>
      <w:tr>
        <w:trPr/>
        <w:tc>
          <w:tcPr>
            <w:tcW w:w="2000"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2021</w:t>
            </w:r>
          </w:p>
        </w:tc>
        <w:tc>
          <w:tcPr>
            <w:tcW w:w="200" w:type="dxa"/>
            <w:tcBorders/>
            <w:shd w:fill="auto" w:val="clear"/>
            <w:vAlign w:val="bottom"/>
          </w:tcPr>
          <w:p>
            <w:pPr>
              <w:pStyle w:val="TableContents"/>
              <w:spacing w:before="0" w:after="283"/>
              <w:jc w:val="left"/>
              <w:rPr/>
            </w:pPr>
            <w:r>
              <w:rPr/>
              <w:t> </w:t>
            </w:r>
          </w:p>
        </w:tc>
      </w:tr>
      <w:tr>
        <w:trPr/>
        <w:tc>
          <w:tcPr>
            <w:tcW w:w="20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Expected term (in years)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6.10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5.96</w:t>
            </w:r>
          </w:p>
        </w:tc>
        <w:tc>
          <w:tcPr>
            <w:tcW w:w="200" w:type="dxa"/>
            <w:tcBorders/>
            <w:shd w:fill="CCEEFF" w:val="clear"/>
            <w:vAlign w:val="bottom"/>
          </w:tcPr>
          <w:p>
            <w:pPr>
              <w:pStyle w:val="TableContents"/>
              <w:spacing w:before="0" w:after="283"/>
              <w:jc w:val="left"/>
              <w:rPr/>
            </w:pPr>
            <w:r>
              <w:rPr/>
              <w:t> </w:t>
            </w:r>
          </w:p>
        </w:tc>
      </w:tr>
      <w:tr>
        <w:trPr/>
        <w:tc>
          <w:tcPr>
            <w:tcW w:w="20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Expected volatility</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89.57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90.03</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0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Risk-free rate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2.51</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1.08</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0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Dividend rate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0.00</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both"/>
        <w:rPr>
          <w:color w:val="000000"/>
          <w:highlight w:val="white"/>
        </w:rPr>
      </w:pPr>
      <w:r>
        <w:rPr>
          <w:color w:val="000000"/>
          <w:highlight w:val="white"/>
        </w:rPr>
        <w:t> </w:t>
      </w:r>
    </w:p>
    <w:p>
      <w:pPr>
        <w:pStyle w:val="TextBody"/>
        <w:spacing w:before="0" w:after="0"/>
        <w:jc w:val="left"/>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Restricted Stock Units</w:t>
      </w:r>
    </w:p>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Restricted stock units have been issued to certain board members. Restricted stock units unvested are summarized in the following table:</w:t>
      </w:r>
    </w:p>
    <w:p>
      <w:pPr>
        <w:pStyle w:val="TextBody"/>
        <w:spacing w:before="0" w:after="0"/>
        <w:jc w:val="left"/>
        <w:rPr/>
      </w:pPr>
      <w:r>
        <w:rPr/>
      </w:r>
    </w:p>
    <w:tbl>
      <w:tblPr>
        <w:tblW w:w="4594" w:type="dxa"/>
        <w:jc w:val="left"/>
        <w:tblInd w:w="0" w:type="dxa"/>
        <w:tblCellMar>
          <w:top w:w="0" w:type="dxa"/>
          <w:left w:w="0" w:type="dxa"/>
          <w:bottom w:w="0" w:type="dxa"/>
          <w:right w:w="0" w:type="dxa"/>
        </w:tblCellMar>
      </w:tblPr>
      <w:tblGrid>
        <w:gridCol w:w="2615"/>
        <w:gridCol w:w="60"/>
        <w:gridCol w:w="60"/>
        <w:gridCol w:w="755"/>
        <w:gridCol w:w="80"/>
        <w:gridCol w:w="60"/>
        <w:gridCol w:w="219"/>
        <w:gridCol w:w="670"/>
        <w:gridCol w:w="75"/>
      </w:tblGrid>
      <w:tr>
        <w:trPr/>
        <w:tc>
          <w:tcPr>
            <w:tcW w:w="2615"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 xml:space="preserve">Number </w:t>
            </w:r>
          </w:p>
          <w:p>
            <w:pPr>
              <w:pStyle w:val="TableContents"/>
              <w:spacing w:before="0" w:after="0"/>
              <w:jc w:val="center"/>
              <w:rPr>
                <w:rFonts w:ascii="Times New Roman" w:hAnsi="Times New Roman"/>
                <w:b/>
                <w:sz w:val="20"/>
              </w:rPr>
            </w:pPr>
            <w:r>
              <w:rPr>
                <w:rFonts w:ascii="Times New Roman" w:hAnsi="Times New Roman"/>
                <w:b/>
                <w:sz w:val="20"/>
              </w:rPr>
              <w:t>of</w:t>
            </w:r>
          </w:p>
          <w:p>
            <w:pPr>
              <w:pStyle w:val="TableContents"/>
              <w:spacing w:before="0" w:after="0"/>
              <w:jc w:val="center"/>
              <w:rPr>
                <w:rFonts w:ascii="Times New Roman" w:hAnsi="Times New Roman"/>
                <w:b/>
                <w:sz w:val="20"/>
              </w:rPr>
            </w:pPr>
            <w:r>
              <w:rPr>
                <w:rFonts w:ascii="Times New Roman" w:hAnsi="Times New Roman"/>
                <w:b/>
                <w:sz w:val="20"/>
              </w:rPr>
              <w:t>Units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w:t>
            </w:r>
          </w:p>
          <w:p>
            <w:pPr>
              <w:pStyle w:val="TableContents"/>
              <w:spacing w:before="0" w:after="0"/>
              <w:jc w:val="center"/>
              <w:rPr>
                <w:rFonts w:ascii="Times New Roman" w:hAnsi="Times New Roman"/>
                <w:b/>
                <w:sz w:val="20"/>
              </w:rPr>
            </w:pPr>
            <w:r>
              <w:rPr>
                <w:rFonts w:ascii="Times New Roman" w:hAnsi="Times New Roman"/>
                <w:b/>
                <w:sz w:val="20"/>
              </w:rPr>
              <w:t xml:space="preserve">Average </w:t>
            </w:r>
          </w:p>
          <w:p>
            <w:pPr>
              <w:pStyle w:val="TableContents"/>
              <w:spacing w:before="0" w:after="0"/>
              <w:jc w:val="center"/>
              <w:rPr>
                <w:rFonts w:ascii="Times New Roman" w:hAnsi="Times New Roman"/>
                <w:b/>
                <w:sz w:val="20"/>
              </w:rPr>
            </w:pPr>
            <w:r>
              <w:rPr>
                <w:rFonts w:ascii="Times New Roman" w:hAnsi="Times New Roman"/>
                <w:b/>
                <w:sz w:val="20"/>
              </w:rPr>
              <w:t xml:space="preserve">Grant </w:t>
            </w:r>
          </w:p>
          <w:p>
            <w:pPr>
              <w:pStyle w:val="TableContents"/>
              <w:spacing w:before="0" w:after="0"/>
              <w:jc w:val="center"/>
              <w:rPr>
                <w:rFonts w:ascii="Times New Roman" w:hAnsi="Times New Roman"/>
                <w:b/>
                <w:sz w:val="20"/>
              </w:rPr>
            </w:pPr>
            <w:r>
              <w:rPr>
                <w:rFonts w:ascii="Times New Roman" w:hAnsi="Times New Roman"/>
                <w:b/>
                <w:sz w:val="20"/>
              </w:rPr>
              <w:t xml:space="preserve">Date Fair </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75"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Outstanding at January 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290,861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1.44</w:t>
            </w:r>
          </w:p>
        </w:tc>
        <w:tc>
          <w:tcPr>
            <w:tcW w:w="75"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(146,364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1.42</w:t>
            </w:r>
          </w:p>
        </w:tc>
        <w:tc>
          <w:tcPr>
            <w:tcW w:w="75"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(53,957</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1.45</w:t>
            </w:r>
          </w:p>
        </w:tc>
        <w:tc>
          <w:tcPr>
            <w:tcW w:w="75"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Unvested at December 31,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90,540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1.45</w:t>
            </w:r>
          </w:p>
        </w:tc>
        <w:tc>
          <w:tcPr>
            <w:tcW w:w="75"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187,464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6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0.96</w:t>
            </w:r>
          </w:p>
        </w:tc>
        <w:tc>
          <w:tcPr>
            <w:tcW w:w="75"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(158,407</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1.26</w:t>
            </w:r>
          </w:p>
        </w:tc>
        <w:tc>
          <w:tcPr>
            <w:tcW w:w="75" w:type="dxa"/>
            <w:tcBorders/>
            <w:shd w:fill="CCEEFF" w:val="clear"/>
            <w:vAlign w:val="bottom"/>
          </w:tcPr>
          <w:p>
            <w:pPr>
              <w:pStyle w:val="TableContents"/>
              <w:spacing w:before="0" w:after="283"/>
              <w:jc w:val="left"/>
              <w:rPr/>
            </w:pPr>
            <w:r>
              <w:rPr/>
              <w:t> </w:t>
            </w:r>
          </w:p>
        </w:tc>
      </w:tr>
      <w:tr>
        <w:trPr/>
        <w:tc>
          <w:tcPr>
            <w:tcW w:w="261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Forfeited and expired</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rPr/>
            </w:pPr>
            <w:r>
              <w:rPr/>
            </w:r>
          </w:p>
        </w:tc>
        <w:tc>
          <w:tcPr>
            <w:tcW w:w="670"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261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Unvested at December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119,597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0.93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b w:val="false"/>
          <w:i w:val="false"/>
          <w:caps w:val="false"/>
          <w:smallCaps w:val="false"/>
          <w:color w:val="000000"/>
          <w:sz w:val="20"/>
          <w:highlight w:val="white"/>
        </w:rPr>
        <w:t>As of December 31, 2022, the total unrecognized compensation expense related to unvested restricted stock units was less than $0.1 million, which the Company expects to recognize over a weighted</w:t>
        <w:noBreakHyphen/>
        <w:t>average period of approximately 0.5 years</w:t>
      </w:r>
      <w:r>
        <w:rPr>
          <w:rFonts w:ascii="Times New Roman" w:hAnsi="Times New Roman"/>
          <w:color w:val="000000"/>
          <w:sz w:val="20"/>
          <w:highlight w:val="white"/>
        </w:rPr>
        <w:t>. During the first quarter of 2023, the Company issued 158,407 shares of common stock related to the restricted stock units that vested during 2022.</w:t>
      </w:r>
    </w:p>
    <w:p>
      <w:pPr>
        <w:pStyle w:val="TextBody"/>
        <w:spacing w:before="0" w:after="0"/>
        <w:jc w:val="left"/>
        <w:rPr>
          <w:color w:val="000000"/>
          <w:highlight w:val="white"/>
        </w:rPr>
      </w:pPr>
      <w:r>
        <w:rPr>
          <w:color w:val="000000"/>
          <w:highlight w:val="white"/>
        </w:rPr>
        <w:t xml:space="preserve">  </w:t>
      </w:r>
    </w:p>
    <w:p>
      <w:pPr>
        <w:pStyle w:val="TextBody"/>
        <w:spacing w:before="0" w:after="0"/>
        <w:jc w:val="both"/>
        <w:rPr>
          <w:rFonts w:ascii="Times New Roman" w:hAnsi="Times New Roman"/>
          <w:b/>
          <w:color w:val="000000"/>
          <w:sz w:val="20"/>
          <w:highlight w:val="white"/>
        </w:rPr>
      </w:pPr>
      <w:r>
        <w:rPr>
          <w:rFonts w:ascii="Times New Roman" w:hAnsi="Times New Roman"/>
          <w:b/>
          <w:color w:val="000000"/>
          <w:sz w:val="20"/>
          <w:highlight w:val="white"/>
        </w:rPr>
        <w:t>15. Income Taxes</w:t>
      </w:r>
    </w:p>
    <w:p>
      <w:pPr>
        <w:pStyle w:val="TextBody"/>
        <w:spacing w:before="0" w:after="0"/>
        <w:jc w:val="both"/>
        <w:rPr>
          <w:color w:val="000000"/>
          <w:highlight w:val="white"/>
        </w:rPr>
      </w:pPr>
      <w:r>
        <w:rPr>
          <w:color w:val="000000"/>
          <w:highlight w:val="white"/>
        </w:rPr>
        <w:t> </w:t>
      </w:r>
    </w:p>
    <w:p>
      <w:pPr>
        <w:pStyle w:val="TextBody"/>
        <w:spacing w:before="0" w:after="0"/>
        <w:jc w:val="both"/>
        <w:rPr/>
      </w:pPr>
      <w:r>
        <w:rPr/>
      </w:r>
    </w:p>
    <w:p>
      <w:pPr>
        <w:pStyle w:val="TextBody"/>
        <w:spacing w:before="0" w:after="0"/>
        <w:ind w:left="0" w:right="0" w:firstLine="72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Income tax expense consists of the following (in thousands):</w:t>
      </w:r>
    </w:p>
    <w:p>
      <w:pPr>
        <w:pStyle w:val="TextBody"/>
        <w:spacing w:before="0" w:after="0"/>
        <w:jc w:val="both"/>
        <w:rPr>
          <w:rFonts w:ascii="Times New Roman" w:hAnsi="Times New Roman"/>
          <w:sz w:val="20"/>
        </w:rPr>
      </w:pPr>
      <w:r>
        <w:rPr>
          <w:rFonts w:ascii="Times New Roman" w:hAnsi="Times New Roman"/>
          <w:sz w:val="20"/>
        </w:rPr>
      </w:r>
    </w:p>
    <w:tbl>
      <w:tblPr>
        <w:tblW w:w="3492" w:type="dxa"/>
        <w:jc w:val="left"/>
        <w:tblInd w:w="0" w:type="dxa"/>
        <w:tblCellMar>
          <w:top w:w="0" w:type="dxa"/>
          <w:left w:w="0" w:type="dxa"/>
          <w:bottom w:w="0" w:type="dxa"/>
          <w:right w:w="0" w:type="dxa"/>
        </w:tblCellMar>
      </w:tblPr>
      <w:tblGrid>
        <w:gridCol w:w="1910"/>
        <w:gridCol w:w="60"/>
        <w:gridCol w:w="198"/>
        <w:gridCol w:w="368"/>
        <w:gridCol w:w="84"/>
        <w:gridCol w:w="84"/>
        <w:gridCol w:w="198"/>
        <w:gridCol w:w="480"/>
        <w:gridCol w:w="110"/>
      </w:tblGrid>
      <w:tr>
        <w:trPr/>
        <w:tc>
          <w:tcPr>
            <w:tcW w:w="191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412"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Year Ended</w:t>
            </w:r>
          </w:p>
          <w:p>
            <w:pPr>
              <w:pStyle w:val="TableContents"/>
              <w:spacing w:before="0" w:after="0"/>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56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67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Current:</w:t>
            </w:r>
          </w:p>
        </w:tc>
        <w:tc>
          <w:tcPr>
            <w:tcW w:w="60" w:type="dxa"/>
            <w:tcBorders/>
            <w:shd w:fill="auto" w:val="clear"/>
            <w:vAlign w:val="bottom"/>
          </w:tcPr>
          <w:p>
            <w:pPr>
              <w:pStyle w:val="TableContents"/>
              <w:spacing w:before="0" w:after="283"/>
              <w:rPr/>
            </w:pPr>
            <w:r>
              <w:rPr/>
              <w:t> </w:t>
            </w:r>
          </w:p>
        </w:tc>
        <w:tc>
          <w:tcPr>
            <w:tcW w:w="566"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67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rPr/>
            </w:pPr>
            <w:r>
              <w:rPr/>
              <w:t>Federal</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0"/>
              <w:jc w:val="left"/>
              <w:rPr/>
            </w:pPr>
            <w:r>
              <w:rPr/>
              <w:t>$</w:t>
            </w:r>
          </w:p>
        </w:tc>
        <w:tc>
          <w:tcPr>
            <w:tcW w:w="368" w:type="dxa"/>
            <w:tcBorders/>
            <w:shd w:fill="CCEEFF" w:val="clear"/>
            <w:vAlign w:val="bottom"/>
          </w:tcPr>
          <w:p>
            <w:pPr>
              <w:pStyle w:val="TableContents"/>
              <w:spacing w:before="0" w:after="0"/>
              <w:jc w:val="right"/>
              <w:rPr/>
            </w:pPr>
            <w:r>
              <w:rPr/>
              <w:t>—</w:t>
            </w:r>
          </w:p>
        </w:tc>
        <w:tc>
          <w:tcPr>
            <w:tcW w:w="84"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0"/>
              <w:jc w:val="left"/>
              <w:rPr/>
            </w:pPr>
            <w:r>
              <w:rPr/>
              <w:t>$</w:t>
            </w:r>
          </w:p>
        </w:tc>
        <w:tc>
          <w:tcPr>
            <w:tcW w:w="480" w:type="dxa"/>
            <w:tcBorders/>
            <w:shd w:fill="CCEEFF" w:val="cle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State</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68" w:type="dxa"/>
            <w:tcBorders>
              <w:bottom w:val="single" w:sz="12" w:space="0" w:color="000000"/>
            </w:tcBorders>
            <w:shd w:fill="auto" w:val="clear"/>
            <w:tcMar>
              <w:bottom w:w="28" w:type="dxa"/>
            </w:tcMar>
            <w:vAlign w:val="bottom"/>
          </w:tcPr>
          <w:p>
            <w:pPr>
              <w:pStyle w:val="TableContents"/>
              <w:spacing w:before="0" w:after="0"/>
              <w:jc w:val="right"/>
              <w:rPr/>
            </w:pPr>
            <w:r>
              <w:rPr/>
              <w:t>23</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0" w:type="dxa"/>
            <w:tcBorders>
              <w:bottom w:val="single" w:sz="12" w:space="0" w:color="000000"/>
            </w:tcBorders>
            <w:shd w:fill="auto" w:val="clear"/>
            <w:tcMar>
              <w:bottom w:w="28" w:type="dxa"/>
            </w:tcMar>
            <w:vAlign w:val="bottom"/>
          </w:tcPr>
          <w:p>
            <w:pPr>
              <w:pStyle w:val="TableContents"/>
              <w:spacing w:before="0" w:after="0"/>
              <w:jc w:val="right"/>
              <w:rPr/>
            </w:pPr>
            <w:r>
              <w:rPr/>
              <w:t>22</w:t>
            </w:r>
          </w:p>
        </w:tc>
        <w:tc>
          <w:tcPr>
            <w:tcW w:w="110"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rPr/>
            </w:pPr>
            <w:r>
              <w:rPr/>
              <w:t> </w:t>
            </w:r>
          </w:p>
        </w:tc>
        <w:tc>
          <w:tcPr>
            <w:tcW w:w="60"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68" w:type="dxa"/>
            <w:tcBorders>
              <w:bottom w:val="single" w:sz="12" w:space="0" w:color="000000"/>
            </w:tcBorders>
            <w:shd w:fill="CCEEFF" w:val="clear"/>
            <w:tcMar>
              <w:bottom w:w="28" w:type="dxa"/>
            </w:tcMar>
            <w:vAlign w:val="bottom"/>
          </w:tcPr>
          <w:p>
            <w:pPr>
              <w:pStyle w:val="TableContents"/>
              <w:spacing w:before="0" w:after="0"/>
              <w:jc w:val="right"/>
              <w:rPr/>
            </w:pPr>
            <w:r>
              <w:rPr/>
              <w:t>23</w:t>
            </w:r>
          </w:p>
        </w:tc>
        <w:tc>
          <w:tcPr>
            <w:tcW w:w="84"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0" w:type="dxa"/>
            <w:tcBorders>
              <w:bottom w:val="single" w:sz="12" w:space="0" w:color="000000"/>
            </w:tcBorders>
            <w:shd w:fill="CCEEFF" w:val="clear"/>
            <w:tcMar>
              <w:bottom w:w="28" w:type="dxa"/>
            </w:tcMar>
            <w:vAlign w:val="bottom"/>
          </w:tcPr>
          <w:p>
            <w:pPr>
              <w:pStyle w:val="TableContents"/>
              <w:spacing w:before="0" w:after="0"/>
              <w:jc w:val="right"/>
              <w:rPr/>
            </w:pPr>
            <w:r>
              <w:rPr/>
              <w:t>22</w:t>
            </w:r>
          </w:p>
        </w:tc>
        <w:tc>
          <w:tcPr>
            <w:tcW w:w="110"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Deferred:</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368"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48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jc w:val="left"/>
              <w:rPr/>
            </w:pPr>
            <w:r>
              <w:rPr/>
              <w:t> </w:t>
            </w:r>
          </w:p>
        </w:tc>
      </w:tr>
      <w:tr>
        <w:trPr/>
        <w:tc>
          <w:tcPr>
            <w:tcW w:w="1910" w:type="dxa"/>
            <w:tcBorders/>
            <w:shd w:fill="CCEEFF" w:val="clear"/>
            <w:vAlign w:val="bottom"/>
          </w:tcPr>
          <w:p>
            <w:pPr>
              <w:pStyle w:val="TableContents"/>
              <w:spacing w:before="0" w:after="0"/>
              <w:rPr/>
            </w:pPr>
            <w:r>
              <w:rPr/>
              <w:t>Federal</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368" w:type="dxa"/>
            <w:tcBorders/>
            <w:shd w:fill="CCEEFF" w:val="clear"/>
            <w:vAlign w:val="bottom"/>
          </w:tcPr>
          <w:p>
            <w:pPr>
              <w:pStyle w:val="TableContents"/>
              <w:spacing w:before="0" w:after="0"/>
              <w:jc w:val="right"/>
              <w:rPr/>
            </w:pPr>
            <w:r>
              <w:rPr/>
              <w:t>23</w:t>
            </w:r>
          </w:p>
        </w:tc>
        <w:tc>
          <w:tcPr>
            <w:tcW w:w="84"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480" w:type="dxa"/>
            <w:tcBorders/>
            <w:shd w:fill="CCEEFF" w:val="clear"/>
            <w:vAlign w:val="bottom"/>
          </w:tcPr>
          <w:p>
            <w:pPr>
              <w:pStyle w:val="TableContents"/>
              <w:spacing w:before="0" w:after="0"/>
              <w:jc w:val="right"/>
              <w:rPr/>
            </w:pPr>
            <w:r>
              <w:rPr/>
              <w:t>23</w:t>
            </w:r>
          </w:p>
        </w:tc>
        <w:tc>
          <w:tcPr>
            <w:tcW w:w="110"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State</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368" w:type="dxa"/>
            <w:tcBorders>
              <w:bottom w:val="single" w:sz="12" w:space="0" w:color="000000"/>
            </w:tcBorders>
            <w:shd w:fill="auto" w:val="clear"/>
            <w:tcMar>
              <w:bottom w:w="28" w:type="dxa"/>
            </w:tcMar>
            <w:vAlign w:val="bottom"/>
          </w:tcPr>
          <w:p>
            <w:pPr>
              <w:pStyle w:val="TableContents"/>
              <w:spacing w:before="0" w:after="0"/>
              <w:jc w:val="right"/>
              <w:rPr/>
            </w:pPr>
            <w:r>
              <w:rPr/>
              <w:t>17</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80" w:type="dxa"/>
            <w:tcBorders>
              <w:bottom w:val="single" w:sz="12" w:space="0" w:color="000000"/>
            </w:tcBorders>
            <w:shd w:fill="auto" w:val="clear"/>
            <w:tcMar>
              <w:bottom w:w="28" w:type="dxa"/>
            </w:tcMar>
            <w:vAlign w:val="bottom"/>
          </w:tcPr>
          <w:p>
            <w:pPr>
              <w:pStyle w:val="TableContents"/>
              <w:spacing w:before="0" w:after="0"/>
              <w:jc w:val="right"/>
              <w:rPr/>
            </w:pPr>
            <w:r>
              <w:rPr/>
              <w:t>(11</w:t>
            </w:r>
          </w:p>
        </w:tc>
        <w:tc>
          <w:tcPr>
            <w:tcW w:w="110" w:type="dxa"/>
            <w:tcBorders/>
            <w:shd w:fill="auto" w:val="clear"/>
            <w:vAlign w:val="bottom"/>
          </w:tcPr>
          <w:p>
            <w:pPr>
              <w:pStyle w:val="TableContents"/>
              <w:spacing w:before="0" w:after="0"/>
              <w:jc w:val="left"/>
              <w:rPr/>
            </w:pPr>
            <w:r>
              <w:rPr/>
              <w:t>)</w:t>
            </w:r>
          </w:p>
        </w:tc>
      </w:tr>
      <w:tr>
        <w:trPr/>
        <w:tc>
          <w:tcPr>
            <w:tcW w:w="1910" w:type="dxa"/>
            <w:tcBorders/>
            <w:shd w:fill="CCEEFF" w:val="clear"/>
            <w:vAlign w:val="bottom"/>
          </w:tcPr>
          <w:p>
            <w:pPr>
              <w:pStyle w:val="TableContents"/>
              <w:spacing w:before="0" w:after="0"/>
              <w:rPr/>
            </w:pPr>
            <w:r>
              <w:rPr/>
              <w:t> </w:t>
            </w:r>
          </w:p>
        </w:tc>
        <w:tc>
          <w:tcPr>
            <w:tcW w:w="60"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68" w:type="dxa"/>
            <w:tcBorders>
              <w:bottom w:val="single" w:sz="12" w:space="0" w:color="000000"/>
            </w:tcBorders>
            <w:shd w:fill="CCEEFF" w:val="clear"/>
            <w:tcMar>
              <w:bottom w:w="28" w:type="dxa"/>
            </w:tcMar>
            <w:vAlign w:val="bottom"/>
          </w:tcPr>
          <w:p>
            <w:pPr>
              <w:pStyle w:val="TableContents"/>
              <w:spacing w:before="0" w:after="0"/>
              <w:jc w:val="right"/>
              <w:rPr/>
            </w:pPr>
            <w:r>
              <w:rPr/>
              <w:t>40</w:t>
            </w:r>
          </w:p>
        </w:tc>
        <w:tc>
          <w:tcPr>
            <w:tcW w:w="84"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0" w:type="dxa"/>
            <w:tcBorders>
              <w:bottom w:val="single" w:sz="12" w:space="0" w:color="000000"/>
            </w:tcBorders>
            <w:shd w:fill="CCEEFF" w:val="clear"/>
            <w:tcMar>
              <w:bottom w:w="28" w:type="dxa"/>
            </w:tcMar>
            <w:vAlign w:val="bottom"/>
          </w:tcPr>
          <w:p>
            <w:pPr>
              <w:pStyle w:val="TableContents"/>
              <w:spacing w:before="0" w:after="0"/>
              <w:jc w:val="right"/>
              <w:rPr/>
            </w:pPr>
            <w:r>
              <w:rPr/>
              <w:t>12</w:t>
            </w:r>
          </w:p>
        </w:tc>
        <w:tc>
          <w:tcPr>
            <w:tcW w:w="110" w:type="dxa"/>
            <w:tcBorders/>
            <w:shd w:fill="CCEEFF" w:val="clear"/>
            <w:vAlign w:val="bottom"/>
          </w:tcPr>
          <w:p>
            <w:pPr>
              <w:pStyle w:val="TableContents"/>
              <w:spacing w:before="0" w:after="283"/>
              <w:jc w:val="left"/>
              <w:rPr/>
            </w:pPr>
            <w:r>
              <w:rPr/>
              <w:t> </w:t>
            </w:r>
          </w:p>
        </w:tc>
      </w:tr>
      <w:tr>
        <w:trPr/>
        <w:tc>
          <w:tcPr>
            <w:tcW w:w="1910" w:type="dxa"/>
            <w:tcBorders/>
            <w:shd w:fill="auto" w:val="clear"/>
            <w:vAlign w:val="bottom"/>
          </w:tcPr>
          <w:p>
            <w:pPr>
              <w:pStyle w:val="TableContents"/>
              <w:spacing w:before="0" w:after="0"/>
              <w:rPr/>
            </w:pPr>
            <w:r>
              <w:rPr/>
              <w:t>Income tax expense</w:t>
            </w:r>
          </w:p>
        </w:tc>
        <w:tc>
          <w:tcPr>
            <w:tcW w:w="60" w:type="dxa"/>
            <w:tcBorders/>
            <w:shd w:fill="auto" w:val="clear"/>
            <w:vAlign w:val="bottom"/>
          </w:tcPr>
          <w:p>
            <w:pPr>
              <w:pStyle w:val="TableContents"/>
              <w:spacing w:before="0" w:after="283"/>
              <w:jc w:val="right"/>
              <w:rPr/>
            </w:pPr>
            <w:r>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368" w:type="dxa"/>
            <w:tcBorders>
              <w:bottom w:val="double" w:sz="8" w:space="0" w:color="000000"/>
            </w:tcBorders>
            <w:shd w:fill="auto" w:val="clear"/>
            <w:tcMar>
              <w:bottom w:w="28" w:type="dxa"/>
            </w:tcMar>
            <w:vAlign w:val="bottom"/>
          </w:tcPr>
          <w:p>
            <w:pPr>
              <w:pStyle w:val="TableContents"/>
              <w:spacing w:before="0" w:after="0"/>
              <w:jc w:val="right"/>
              <w:rPr/>
            </w:pPr>
            <w:r>
              <w:rPr/>
              <w:t>63</w:t>
            </w:r>
          </w:p>
        </w:tc>
        <w:tc>
          <w:tcPr>
            <w:tcW w:w="84"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480" w:type="dxa"/>
            <w:tcBorders>
              <w:bottom w:val="double" w:sz="8" w:space="0" w:color="000000"/>
            </w:tcBorders>
            <w:shd w:fill="auto" w:val="clear"/>
            <w:tcMar>
              <w:bottom w:w="28" w:type="dxa"/>
            </w:tcMar>
            <w:vAlign w:val="bottom"/>
          </w:tcPr>
          <w:p>
            <w:pPr>
              <w:pStyle w:val="TableContents"/>
              <w:spacing w:before="0" w:after="0"/>
              <w:jc w:val="right"/>
              <w:rPr/>
            </w:pPr>
            <w:r>
              <w:rPr/>
              <w:t>34</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F-27</w:t>
      </w:r>
    </w:p>
    <w:p>
      <w:pPr>
        <w:pStyle w:val="HorizontalLine"/>
        <w:spacing w:before="200" w:after="200"/>
        <w:jc w:val="both"/>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both"/>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b w:val="false"/>
          <w:i w:val="false"/>
          <w:caps w:val="false"/>
          <w:smallCaps w:val="false"/>
          <w:color w:val="000000"/>
          <w:sz w:val="20"/>
          <w:highlight w:val="white"/>
        </w:rPr>
        <w:t>Deferred tax assets and liabilities are determined based on the differences between the consolidated financial statement carrying amounts and tax bases of assets and liabilities using enacted tax rates in effect for years in which differences are expected to reverse</w:t>
      </w:r>
      <w:r>
        <w:rPr>
          <w:rFonts w:ascii="Times New Roman" w:hAnsi="Times New Roman"/>
          <w:color w:val="000000"/>
          <w:sz w:val="20"/>
          <w:highlight w:val="white"/>
        </w:rPr>
        <w: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Significant components of the Company’s deferred tax liability for federal income taxes consisted of the following (in thousands):</w:t>
      </w:r>
    </w:p>
    <w:p>
      <w:pPr>
        <w:pStyle w:val="TextBody"/>
        <w:spacing w:before="0" w:after="0"/>
        <w:jc w:val="left"/>
        <w:rPr>
          <w:color w:val="000000"/>
          <w:highlight w:val="white"/>
        </w:rPr>
      </w:pPr>
      <w:r>
        <w:rPr>
          <w:color w:val="000000"/>
          <w:highlight w:val="white"/>
        </w:rPr>
        <w:t> </w:t>
      </w:r>
    </w:p>
    <w:tbl>
      <w:tblPr>
        <w:tblW w:w="5570" w:type="dxa"/>
        <w:jc w:val="left"/>
        <w:tblInd w:w="0" w:type="dxa"/>
        <w:tblCellMar>
          <w:top w:w="0" w:type="dxa"/>
          <w:left w:w="0" w:type="dxa"/>
          <w:bottom w:w="0" w:type="dxa"/>
          <w:right w:w="0" w:type="dxa"/>
        </w:tblCellMar>
      </w:tblPr>
      <w:tblGrid>
        <w:gridCol w:w="3455"/>
        <w:gridCol w:w="60"/>
        <w:gridCol w:w="140"/>
        <w:gridCol w:w="755"/>
        <w:gridCol w:w="95"/>
        <w:gridCol w:w="60"/>
        <w:gridCol w:w="140"/>
        <w:gridCol w:w="755"/>
        <w:gridCol w:w="110"/>
      </w:tblGrid>
      <w:tr>
        <w:trPr/>
        <w:tc>
          <w:tcPr>
            <w:tcW w:w="345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945"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tc>
        <w:tc>
          <w:tcPr>
            <w:tcW w:w="110" w:type="dxa"/>
            <w:tcBorders/>
            <w:shd w:fill="auto"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b/>
              </w:rPr>
            </w:pPr>
            <w:r>
              <w:rPr>
                <w:b/>
              </w:rPr>
              <w:t>Deferred tax assets (liabilities)</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2021</w:t>
            </w:r>
          </w:p>
        </w:tc>
        <w:tc>
          <w:tcPr>
            <w:tcW w:w="110" w:type="dxa"/>
            <w:tcBorders/>
            <w:shd w:fill="auto" w:val="clear"/>
            <w:vAlign w:val="bottom"/>
          </w:tcPr>
          <w:p>
            <w:pPr>
              <w:pStyle w:val="TableContents"/>
              <w:spacing w:before="0" w:after="283"/>
              <w:jc w:val="left"/>
              <w:rPr/>
            </w:pPr>
            <w:r>
              <w:rPr/>
              <w:t> </w:t>
            </w:r>
          </w:p>
        </w:tc>
      </w:tr>
      <w:tr>
        <w:trPr/>
        <w:tc>
          <w:tcPr>
            <w:tcW w:w="3455" w:type="dxa"/>
            <w:tcBorders/>
            <w:shd w:fill="CCEEFF" w:val="clear"/>
            <w:vAlign w:val="bottom"/>
          </w:tcPr>
          <w:p>
            <w:pPr>
              <w:pStyle w:val="TableContents"/>
              <w:spacing w:before="0" w:after="0"/>
              <w:rPr/>
            </w:pPr>
            <w:r>
              <w:rPr/>
              <w:t>Net operating loss carryforwards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755" w:type="dxa"/>
            <w:tcBorders/>
            <w:shd w:fill="CCEEFF" w:val="clear"/>
            <w:vAlign w:val="bottom"/>
          </w:tcPr>
          <w:p>
            <w:pPr>
              <w:pStyle w:val="TableContents"/>
              <w:spacing w:before="0" w:after="0"/>
              <w:jc w:val="right"/>
              <w:rPr/>
            </w:pPr>
            <w:r>
              <w:rPr/>
              <w:t>45,077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755" w:type="dxa"/>
            <w:tcBorders/>
            <w:shd w:fill="CCEEFF" w:val="clear"/>
            <w:vAlign w:val="bottom"/>
          </w:tcPr>
          <w:p>
            <w:pPr>
              <w:pStyle w:val="TableContents"/>
              <w:spacing w:before="0" w:after="0"/>
              <w:jc w:val="right"/>
              <w:rPr/>
            </w:pPr>
            <w:r>
              <w:rPr/>
              <w:t>46,596</w:t>
            </w:r>
          </w:p>
        </w:tc>
        <w:tc>
          <w:tcPr>
            <w:tcW w:w="110" w:type="dxa"/>
            <w:tcBorders/>
            <w:shd w:fill="CCEEFF"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pPr>
            <w:r>
              <w:rPr/>
              <w:t>Intangible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1,697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1,039</w:t>
            </w:r>
          </w:p>
        </w:tc>
        <w:tc>
          <w:tcPr>
            <w:tcW w:w="110" w:type="dxa"/>
            <w:tcBorders/>
            <w:shd w:fill="auto" w:val="clear"/>
            <w:vAlign w:val="bottom"/>
          </w:tcPr>
          <w:p>
            <w:pPr>
              <w:pStyle w:val="TableContents"/>
              <w:spacing w:before="0" w:after="283"/>
              <w:jc w:val="left"/>
              <w:rPr/>
            </w:pPr>
            <w:r>
              <w:rPr/>
              <w:t> </w:t>
            </w:r>
          </w:p>
        </w:tc>
      </w:tr>
      <w:tr>
        <w:trPr/>
        <w:tc>
          <w:tcPr>
            <w:tcW w:w="3455" w:type="dxa"/>
            <w:tcBorders/>
            <w:shd w:fill="CCEEFF" w:val="clear"/>
            <w:vAlign w:val="bottom"/>
          </w:tcPr>
          <w:p>
            <w:pPr>
              <w:pStyle w:val="TableContents"/>
              <w:spacing w:before="0" w:after="0"/>
              <w:rPr/>
            </w:pPr>
            <w:r>
              <w:rPr/>
              <w:t>Inventory</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57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26</w:t>
            </w:r>
          </w:p>
        </w:tc>
        <w:tc>
          <w:tcPr>
            <w:tcW w:w="110" w:type="dxa"/>
            <w:tcBorders/>
            <w:shd w:fill="CCEEFF"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pPr>
            <w:r>
              <w:rPr/>
              <w:t>Reserves and accrued expenses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1,431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1,230</w:t>
            </w:r>
          </w:p>
        </w:tc>
        <w:tc>
          <w:tcPr>
            <w:tcW w:w="110" w:type="dxa"/>
            <w:tcBorders/>
            <w:shd w:fill="auto" w:val="clear"/>
            <w:vAlign w:val="bottom"/>
          </w:tcPr>
          <w:p>
            <w:pPr>
              <w:pStyle w:val="TableContents"/>
              <w:spacing w:before="0" w:after="283"/>
              <w:jc w:val="left"/>
              <w:rPr/>
            </w:pPr>
            <w:r>
              <w:rPr/>
              <w:t> </w:t>
            </w:r>
          </w:p>
        </w:tc>
      </w:tr>
      <w:tr>
        <w:trPr/>
        <w:tc>
          <w:tcPr>
            <w:tcW w:w="3455" w:type="dxa"/>
            <w:tcBorders/>
            <w:shd w:fill="CCEEFF" w:val="clear"/>
            <w:vAlign w:val="bottom"/>
          </w:tcPr>
          <w:p>
            <w:pPr>
              <w:pStyle w:val="TableContents"/>
              <w:spacing w:before="0" w:after="0"/>
              <w:rPr/>
            </w:pPr>
            <w:r>
              <w:rPr/>
              <w:t>Property and equipment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1,111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441</w:t>
            </w:r>
          </w:p>
        </w:tc>
        <w:tc>
          <w:tcPr>
            <w:tcW w:w="110" w:type="dxa"/>
            <w:tcBorders/>
            <w:shd w:fill="CCEEFF"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pPr>
            <w:r>
              <w:rPr/>
              <w:t>Stock-based compensation</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548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458</w:t>
            </w:r>
          </w:p>
        </w:tc>
        <w:tc>
          <w:tcPr>
            <w:tcW w:w="110" w:type="dxa"/>
            <w:tcBorders/>
            <w:shd w:fill="auto" w:val="clear"/>
            <w:vAlign w:val="bottom"/>
          </w:tcPr>
          <w:p>
            <w:pPr>
              <w:pStyle w:val="TableContents"/>
              <w:spacing w:before="0" w:after="283"/>
              <w:jc w:val="left"/>
              <w:rPr/>
            </w:pPr>
            <w:r>
              <w:rPr/>
              <w:t> </w:t>
            </w:r>
          </w:p>
        </w:tc>
      </w:tr>
      <w:tr>
        <w:trPr/>
        <w:tc>
          <w:tcPr>
            <w:tcW w:w="3455" w:type="dxa"/>
            <w:tcBorders/>
            <w:shd w:fill="CCEEFF" w:val="clear"/>
            <w:vAlign w:val="bottom"/>
          </w:tcPr>
          <w:p>
            <w:pPr>
              <w:pStyle w:val="TableContents"/>
              <w:spacing w:before="0" w:after="0"/>
              <w:rPr/>
            </w:pPr>
            <w:r>
              <w:rPr/>
              <w:t>Operating lease right-of-use assets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(242</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(159</w:t>
            </w:r>
          </w:p>
        </w:tc>
        <w:tc>
          <w:tcPr>
            <w:tcW w:w="110" w:type="dxa"/>
            <w:tcBorders/>
            <w:shd w:fill="CCEEFF" w:val="clear"/>
            <w:vAlign w:val="bottom"/>
          </w:tcPr>
          <w:p>
            <w:pPr>
              <w:pStyle w:val="TableContents"/>
              <w:spacing w:before="0" w:after="0"/>
              <w:jc w:val="left"/>
              <w:rPr/>
            </w:pPr>
            <w:r>
              <w:rPr/>
              <w:t>)</w:t>
            </w:r>
          </w:p>
        </w:tc>
      </w:tr>
      <w:tr>
        <w:trPr/>
        <w:tc>
          <w:tcPr>
            <w:tcW w:w="3455" w:type="dxa"/>
            <w:tcBorders/>
            <w:shd w:fill="auto" w:val="clear"/>
            <w:vAlign w:val="bottom"/>
          </w:tcPr>
          <w:p>
            <w:pPr>
              <w:pStyle w:val="TableContents"/>
              <w:spacing w:before="0" w:after="0"/>
              <w:rPr/>
            </w:pPr>
            <w:r>
              <w:rPr/>
              <w:t>Goodwill</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(1,095</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(950</w:t>
            </w:r>
          </w:p>
        </w:tc>
        <w:tc>
          <w:tcPr>
            <w:tcW w:w="110" w:type="dxa"/>
            <w:tcBorders/>
            <w:shd w:fill="auto" w:val="clear"/>
            <w:vAlign w:val="bottom"/>
          </w:tcPr>
          <w:p>
            <w:pPr>
              <w:pStyle w:val="TableContents"/>
              <w:spacing w:before="0" w:after="283"/>
              <w:jc w:val="left"/>
              <w:rPr/>
            </w:pPr>
            <w:r>
              <w:rPr/>
              <w:t>)</w:t>
            </w:r>
          </w:p>
        </w:tc>
      </w:tr>
      <w:tr>
        <w:trPr/>
        <w:tc>
          <w:tcPr>
            <w:tcW w:w="3455" w:type="dxa"/>
            <w:tcBorders/>
            <w:shd w:fill="CCEEFF" w:val="clear"/>
            <w:vAlign w:val="bottom"/>
          </w:tcPr>
          <w:p>
            <w:pPr>
              <w:pStyle w:val="TableContents"/>
              <w:spacing w:before="0" w:after="0"/>
              <w:rPr/>
            </w:pPr>
            <w:r>
              <w:rPr/>
              <w:t>Operating lease liabilities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240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pPr>
            <w:r>
              <w:rPr/>
              <w:t>177</w:t>
            </w:r>
          </w:p>
        </w:tc>
        <w:tc>
          <w:tcPr>
            <w:tcW w:w="110" w:type="dxa"/>
            <w:tcBorders/>
            <w:shd w:fill="CCEEFF"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pPr>
            <w:r>
              <w:rPr/>
              <w:t>481(a) adjustment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(333</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pPr>
            <w:r>
              <w:rPr/>
              <w:t>(667</w:t>
            </w:r>
          </w:p>
        </w:tc>
        <w:tc>
          <w:tcPr>
            <w:tcW w:w="110" w:type="dxa"/>
            <w:tcBorders/>
            <w:shd w:fill="auto" w:val="clear"/>
            <w:vAlign w:val="bottom"/>
          </w:tcPr>
          <w:p>
            <w:pPr>
              <w:pStyle w:val="TableContents"/>
              <w:spacing w:before="0" w:after="0"/>
              <w:ind w:left="180" w:right="0" w:hanging="0"/>
              <w:jc w:val="left"/>
              <w:rPr/>
            </w:pPr>
            <w:r>
              <w:rPr/>
              <w:t>)</w:t>
            </w:r>
          </w:p>
        </w:tc>
      </w:tr>
      <w:tr>
        <w:trPr/>
        <w:tc>
          <w:tcPr>
            <w:tcW w:w="3455" w:type="dxa"/>
            <w:tcBorders/>
            <w:shd w:fill="CCEEFF" w:val="clear"/>
            <w:vAlign w:val="bottom"/>
          </w:tcPr>
          <w:p>
            <w:pPr>
              <w:pStyle w:val="TableContents"/>
              <w:spacing w:before="0" w:after="283"/>
              <w:rPr/>
            </w:pPr>
            <w:r>
              <w:rPr/>
              <w:t>Interest expense limitation carryover</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208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jc w:val="left"/>
              <w:rPr/>
            </w:pPr>
            <w:r>
              <w:rPr/>
              <w:t> </w:t>
            </w:r>
          </w:p>
        </w:tc>
      </w:tr>
      <w:tr>
        <w:trPr/>
        <w:tc>
          <w:tcPr>
            <w:tcW w:w="3455" w:type="dxa"/>
            <w:tcBorders/>
            <w:shd w:fill="auto" w:val="clear"/>
            <w:vAlign w:val="bottom"/>
          </w:tcPr>
          <w:p>
            <w:pPr>
              <w:pStyle w:val="TableContents"/>
              <w:spacing w:before="0" w:after="0"/>
              <w:rPr/>
            </w:pPr>
            <w:r>
              <w:rPr/>
              <w:t>Less: valuation allowance</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(49,005</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pPr>
            <w:r>
              <w:rPr/>
              <w:t>(48,457</w:t>
            </w:r>
          </w:p>
        </w:tc>
        <w:tc>
          <w:tcPr>
            <w:tcW w:w="110" w:type="dxa"/>
            <w:tcBorders/>
            <w:shd w:fill="auto" w:val="clear"/>
            <w:vAlign w:val="bottom"/>
          </w:tcPr>
          <w:p>
            <w:pPr>
              <w:pStyle w:val="TableContents"/>
              <w:spacing w:before="0" w:after="0"/>
              <w:jc w:val="left"/>
              <w:rPr/>
            </w:pPr>
            <w:r>
              <w:rPr/>
              <w:t>)</w:t>
            </w:r>
          </w:p>
        </w:tc>
      </w:tr>
      <w:tr>
        <w:trPr/>
        <w:tc>
          <w:tcPr>
            <w:tcW w:w="3455" w:type="dxa"/>
            <w:tcBorders/>
            <w:shd w:fill="CCEEFF" w:val="clear"/>
            <w:vAlign w:val="bottom"/>
          </w:tcPr>
          <w:p>
            <w:pPr>
              <w:pStyle w:val="TableContents"/>
              <w:spacing w:before="0" w:after="0"/>
              <w:rPr/>
            </w:pPr>
            <w:r>
              <w:rPr/>
              <w:t>Net deferred tax liability</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(306</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(266</w:t>
            </w:r>
          </w:p>
        </w:tc>
        <w:tc>
          <w:tcPr>
            <w:tcW w:w="110" w:type="dxa"/>
            <w:tcBorders/>
            <w:shd w:fill="CCEEFF" w:val="clear"/>
            <w:vAlign w:val="bottom"/>
          </w:tcPr>
          <w:p>
            <w:pPr>
              <w:pStyle w:val="TableContents"/>
              <w:spacing w:before="0" w:after="0"/>
              <w:jc w:val="left"/>
              <w:rPr/>
            </w:pPr>
            <w:r>
              <w:rPr/>
              <w:t>)</w:t>
            </w:r>
          </w:p>
        </w:tc>
      </w:tr>
    </w:tbl>
    <w:p>
      <w:pPr>
        <w:pStyle w:val="TextBody"/>
        <w:spacing w:before="0" w:after="0"/>
        <w:jc w:val="both"/>
        <w:rPr>
          <w:color w:val="000000"/>
          <w:highlight w:val="white"/>
        </w:rPr>
      </w:pPr>
      <w:r>
        <w:rPr>
          <w:color w:val="000000"/>
          <w:highlight w:val="white"/>
        </w:rPr>
        <w:t> </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nearly full valuation allowance has been recorded against the Company’s deferred tax assets as of December 31, 2022 and 2021. The valuation allowance increased by $0.5 million and $0.1 million during the years ended December 31, 2022 and 2021, respectively. The Company does not have unrecognized tax benefits as of December 31, 2022 or 2021. The Company recognizes interest and penalties accrued on any unrecognized tax benefits as a component of income tax expense.</w:t>
      </w:r>
    </w:p>
    <w:p>
      <w:pPr>
        <w:pStyle w:val="TextBody"/>
        <w:spacing w:before="0" w:after="0"/>
        <w:jc w:val="left"/>
        <w:rPr>
          <w:color w:val="000000"/>
          <w:highlight w:val="white"/>
        </w:rPr>
      </w:pPr>
      <w:r>
        <w:rPr>
          <w:color w:val="000000"/>
          <w:highlight w:val="white"/>
        </w:rPr>
        <w:t> </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had net operating loss (“NOL”) carryforwards for federal and state income tax purposes as follows (in thousands):</w:t>
      </w:r>
    </w:p>
    <w:p>
      <w:pPr>
        <w:pStyle w:val="TextBody"/>
        <w:spacing w:before="0" w:after="0"/>
        <w:jc w:val="both"/>
        <w:rPr>
          <w:color w:val="000000"/>
          <w:highlight w:val="white"/>
        </w:rPr>
      </w:pPr>
      <w:r>
        <w:rPr>
          <w:color w:val="000000"/>
          <w:highlight w:val="white"/>
        </w:rPr>
        <w:t> </w:t>
      </w:r>
    </w:p>
    <w:tbl>
      <w:tblPr>
        <w:tblW w:w="2530" w:type="dxa"/>
        <w:jc w:val="left"/>
        <w:tblInd w:w="0" w:type="dxa"/>
        <w:tblCellMar>
          <w:top w:w="0" w:type="dxa"/>
          <w:left w:w="0" w:type="dxa"/>
          <w:bottom w:w="0" w:type="dxa"/>
          <w:right w:w="0" w:type="dxa"/>
        </w:tblCellMar>
      </w:tblPr>
      <w:tblGrid>
        <w:gridCol w:w="635"/>
        <w:gridCol w:w="60"/>
        <w:gridCol w:w="125"/>
        <w:gridCol w:w="695"/>
        <w:gridCol w:w="60"/>
        <w:gridCol w:w="60"/>
        <w:gridCol w:w="125"/>
        <w:gridCol w:w="695"/>
        <w:gridCol w:w="75"/>
      </w:tblGrid>
      <w:tr>
        <w:trPr/>
        <w:tc>
          <w:tcPr>
            <w:tcW w:w="635"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tc>
        <w:tc>
          <w:tcPr>
            <w:tcW w:w="75" w:type="dxa"/>
            <w:tcBorders/>
            <w:shd w:fill="auto" w:val="clear"/>
            <w:vAlign w:val="bottom"/>
          </w:tcPr>
          <w:p>
            <w:pPr>
              <w:pStyle w:val="TableContents"/>
              <w:spacing w:before="0" w:after="283"/>
              <w:jc w:val="left"/>
              <w:rPr/>
            </w:pPr>
            <w:r>
              <w:rPr/>
              <w:t> </w:t>
            </w:r>
          </w:p>
        </w:tc>
      </w:tr>
      <w:tr>
        <w:trPr/>
        <w:tc>
          <w:tcPr>
            <w:tcW w:w="635" w:type="dxa"/>
            <w:tcBorders/>
            <w:shd w:fill="auto" w:val="clear"/>
            <w:vAlign w:val="bottom"/>
          </w:tcPr>
          <w:p>
            <w:pPr>
              <w:pStyle w:val="TableContents"/>
              <w:spacing w:before="0" w:after="0"/>
              <w:jc w:val="left"/>
              <w:rPr>
                <w:rFonts w:ascii="Times New Roman" w:hAnsi="Times New Roman"/>
                <w:b/>
                <w:sz w:val="20"/>
              </w:rPr>
            </w:pPr>
            <w:r>
              <w:rPr>
                <w:rFonts w:ascii="Times New Roman" w:hAnsi="Times New Roman"/>
                <w:b/>
                <w:sz w:val="20"/>
              </w:rPr>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2021</w:t>
            </w:r>
          </w:p>
        </w:tc>
        <w:tc>
          <w:tcPr>
            <w:tcW w:w="75" w:type="dxa"/>
            <w:tcBorders/>
            <w:shd w:fill="auto" w:val="clear"/>
            <w:vAlign w:val="bottom"/>
          </w:tcPr>
          <w:p>
            <w:pPr>
              <w:pStyle w:val="TableContents"/>
              <w:spacing w:before="0" w:after="283"/>
              <w:jc w:val="left"/>
              <w:rPr/>
            </w:pPr>
            <w:r>
              <w:rPr/>
              <w:t> </w:t>
            </w:r>
          </w:p>
        </w:tc>
      </w:tr>
      <w:tr>
        <w:trPr/>
        <w:tc>
          <w:tcPr>
            <w:tcW w:w="6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Federal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198,144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204,314</w:t>
            </w:r>
          </w:p>
        </w:tc>
        <w:tc>
          <w:tcPr>
            <w:tcW w:w="75" w:type="dxa"/>
            <w:tcBorders/>
            <w:shd w:fill="CCEEFF" w:val="clear"/>
            <w:vAlign w:val="bottom"/>
          </w:tcPr>
          <w:p>
            <w:pPr>
              <w:pStyle w:val="TableContents"/>
              <w:spacing w:before="0" w:after="283"/>
              <w:jc w:val="left"/>
              <w:rPr/>
            </w:pPr>
            <w:r>
              <w:rPr/>
              <w:t> </w:t>
            </w:r>
          </w:p>
        </w:tc>
      </w:tr>
      <w:tr>
        <w:trPr/>
        <w:tc>
          <w:tcPr>
            <w:tcW w:w="63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State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60,784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60,654</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NOL carryforwards generated prior to 2018 began to expire for federal income tax purposes and begin expiring in 2030 for state income tax purposes. Federal and many state NOLs generated in 2018 and into the future now have an indefinite life.</w:t>
      </w:r>
    </w:p>
    <w:p>
      <w:pPr>
        <w:pStyle w:val="TextBody"/>
        <w:spacing w:before="0" w:after="0"/>
        <w:jc w:val="left"/>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w:t>
      </w:r>
    </w:p>
    <w:p>
      <w:pPr>
        <w:pStyle w:val="TextBody"/>
        <w:spacing w:before="0" w:after="0"/>
        <w:jc w:val="left"/>
        <w:rPr/>
      </w:pPr>
      <w:r>
        <w:rPr/>
      </w:r>
    </w:p>
    <w:p>
      <w:pPr>
        <w:pStyle w:val="TextBody"/>
        <w:spacing w:before="0" w:after="0"/>
        <w:ind w:left="0" w:right="0" w:firstLine="360"/>
        <w:jc w:val="left"/>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both"/>
        <w:rPr/>
      </w:pPr>
      <w:r>
        <w:rPr/>
      </w:r>
    </w:p>
    <w:p>
      <w:pPr>
        <w:pStyle w:val="TextBody"/>
        <w:spacing w:before="0" w:after="0"/>
        <w:ind w:left="0" w:right="0" w:firstLine="72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A reconciliation of income tax expense at the statutory federal income tax rate and income taxes as reflected in the consolidated financial statements is as follows:</w:t>
      </w:r>
    </w:p>
    <w:p>
      <w:pPr>
        <w:pStyle w:val="TextBody"/>
        <w:spacing w:before="0" w:after="0"/>
        <w:jc w:val="left"/>
        <w:rPr>
          <w:rFonts w:ascii="Times New Roman" w:hAnsi="Times New Roman"/>
          <w:sz w:val="20"/>
        </w:rPr>
      </w:pPr>
      <w:r>
        <w:rPr>
          <w:rFonts w:ascii="Times New Roman" w:hAnsi="Times New Roman"/>
          <w:sz w:val="20"/>
        </w:rPr>
      </w:r>
    </w:p>
    <w:tbl>
      <w:tblPr>
        <w:tblW w:w="4780" w:type="dxa"/>
        <w:jc w:val="left"/>
        <w:tblInd w:w="0" w:type="dxa"/>
        <w:tblCellMar>
          <w:top w:w="0" w:type="dxa"/>
          <w:left w:w="0" w:type="dxa"/>
          <w:bottom w:w="0" w:type="dxa"/>
          <w:right w:w="0" w:type="dxa"/>
        </w:tblCellMar>
      </w:tblPr>
      <w:tblGrid>
        <w:gridCol w:w="2945"/>
        <w:gridCol w:w="60"/>
        <w:gridCol w:w="60"/>
        <w:gridCol w:w="545"/>
        <w:gridCol w:w="245"/>
        <w:gridCol w:w="60"/>
        <w:gridCol w:w="60"/>
        <w:gridCol w:w="545"/>
        <w:gridCol w:w="260"/>
      </w:tblGrid>
      <w:tr>
        <w:trPr/>
        <w:tc>
          <w:tcPr>
            <w:tcW w:w="2945" w:type="dxa"/>
            <w:tcBorders/>
            <w:shd w:fill="auto" w:val="clear"/>
            <w:vAlign w:val="bottom"/>
          </w:tcPr>
          <w:p>
            <w:pPr>
              <w:pStyle w:val="TableContents"/>
              <w:spacing w:before="0" w:after="0"/>
              <w:jc w:val="center"/>
              <w:rPr/>
            </w:pPr>
            <w:r>
              <w:rPr/>
              <w:t> </w:t>
            </w:r>
          </w:p>
        </w:tc>
        <w:tc>
          <w:tcPr>
            <w:tcW w:w="60" w:type="dxa"/>
            <w:tcBorders/>
            <w:shd w:fill="auto" w:val="clear"/>
            <w:vAlign w:val="bottom"/>
          </w:tcPr>
          <w:p>
            <w:pPr>
              <w:pStyle w:val="TableContents"/>
              <w:spacing w:before="0" w:after="283"/>
              <w:rPr/>
            </w:pPr>
            <w:r>
              <w:rPr/>
              <w:t> </w:t>
            </w:r>
          </w:p>
        </w:tc>
        <w:tc>
          <w:tcPr>
            <w:tcW w:w="151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tc>
        <w:tc>
          <w:tcPr>
            <w:tcW w:w="260" w:type="dxa"/>
            <w:tcBorders/>
            <w:shd w:fill="auto"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jc w:val="left"/>
              <w:rPr>
                <w:rFonts w:ascii="Times New Roman" w:hAnsi="Times New Roman"/>
                <w:b/>
                <w:sz w:val="20"/>
              </w:rPr>
            </w:pPr>
            <w:r>
              <w:rPr>
                <w:rFonts w:ascii="Times New Roman" w:hAnsi="Times New Roman"/>
                <w:b/>
                <w:sz w:val="20"/>
              </w:rPr>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2021</w:t>
            </w:r>
          </w:p>
        </w:tc>
        <w:tc>
          <w:tcPr>
            <w:tcW w:w="260"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Federal tax expense at statutory rate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21.00</w:t>
            </w:r>
          </w:p>
        </w:tc>
        <w:tc>
          <w:tcPr>
            <w:tcW w:w="2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21.00</w:t>
            </w:r>
          </w:p>
        </w:tc>
        <w:tc>
          <w:tcPr>
            <w:tcW w:w="26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State tax, net of federal benefit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(0.58</w:t>
            </w:r>
          </w:p>
        </w:tc>
        <w:tc>
          <w:tcPr>
            <w:tcW w:w="2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(0.33</w:t>
            </w:r>
          </w:p>
        </w:tc>
        <w:tc>
          <w:tcPr>
            <w:tcW w:w="26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Permanent differences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(2.23</w:t>
            </w:r>
          </w:p>
        </w:tc>
        <w:tc>
          <w:tcPr>
            <w:tcW w:w="2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8.90</w:t>
            </w:r>
          </w:p>
        </w:tc>
        <w:tc>
          <w:tcPr>
            <w:tcW w:w="26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Other difference and true ups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2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(25.27</w:t>
            </w:r>
          </w:p>
        </w:tc>
        <w:tc>
          <w:tcPr>
            <w:tcW w:w="26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Change in valuation allowance</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(8.14</w:t>
            </w:r>
          </w:p>
        </w:tc>
        <w:tc>
          <w:tcPr>
            <w:tcW w:w="2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(5.57</w:t>
            </w:r>
          </w:p>
        </w:tc>
        <w:tc>
          <w:tcPr>
            <w:tcW w:w="26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Tax provision</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(1.15</w:t>
            </w:r>
          </w:p>
        </w:tc>
        <w:tc>
          <w:tcPr>
            <w:tcW w:w="24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4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(1.27</w:t>
            </w:r>
          </w:p>
        </w:tc>
        <w:tc>
          <w:tcPr>
            <w:tcW w:w="26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pPr>
      <w:r>
        <w:rPr/>
      </w:r>
    </w:p>
    <w:p>
      <w:pPr>
        <w:pStyle w:val="TextBody"/>
        <w:spacing w:before="0" w:after="0"/>
        <w:jc w:val="left"/>
        <w:rPr/>
      </w:pPr>
      <w:r>
        <w:rPr/>
      </w:r>
    </w:p>
    <w:p>
      <w:pPr>
        <w:pStyle w:val="TextBody"/>
        <w:spacing w:before="0" w:after="0"/>
        <w:ind w:left="180" w:right="0" w:firstLine="54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August 16, 2022, the U.S. enacted the Inflation Reduction Act of 2022 (“IRA”). The IRA contains certain tax measures, including a corporate alternative minimum tax of 15% on some large corporations and an excise tax of 1% on corporate stock repurchases. The Company is currently evaluating the various provisions of the IRA and does not anticipate a material impact on its consolidated financial statements.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i w:val="false"/>
          <w:caps w:val="false"/>
          <w:smallCaps w:val="false"/>
          <w:color w:val="000000"/>
          <w:sz w:val="20"/>
          <w:highlight w:val="white"/>
        </w:rPr>
      </w:pPr>
      <w:r>
        <w:rPr>
          <w:rFonts w:ascii="Times New Roman" w:hAnsi="Times New Roman"/>
          <w:b/>
          <w:i w:val="false"/>
          <w:caps w:val="false"/>
          <w:smallCaps w:val="false"/>
          <w:color w:val="000000"/>
          <w:sz w:val="20"/>
          <w:highlight w:val="white"/>
        </w:rPr>
        <w:t>16.</w:t>
      </w:r>
      <w:r>
        <w:rPr>
          <w:rFonts w:ascii="Times New Roman" w:hAnsi="Times New Roman"/>
          <w:i w:val="false"/>
          <w:caps w:val="false"/>
          <w:smallCaps w:val="false"/>
          <w:color w:val="000000"/>
          <w:sz w:val="20"/>
          <w:highlight w:val="white"/>
        </w:rPr>
        <w:t xml:space="preserve"> </w:t>
      </w:r>
      <w:r>
        <w:rPr>
          <w:rFonts w:ascii="Times New Roman" w:hAnsi="Times New Roman"/>
          <w:b/>
          <w:i w:val="false"/>
          <w:caps w:val="false"/>
          <w:smallCaps w:val="false"/>
          <w:color w:val="000000"/>
          <w:sz w:val="20"/>
          <w:highlight w:val="white"/>
        </w:rPr>
        <w:t>Business and Geographical Reporting Segments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Company organized its business into two operating segments to better align its organization based upon the Company’s management structure, products and services offered, markets served and types of customers, as follows. The Dermatology Recurring Procedures segment derives its revenues from the usage of its equipment by dermatologists to perform XTRAC procedures. The Dermatology Procedures Equipment segment generates revenues from the sale of equipment, such as lasers and lamp products. Management reviews financial information presented on an operating segment basis for the purposes of making certain operating decisions and assessing financial performance.</w:t>
      </w:r>
    </w:p>
    <w:p>
      <w:pPr>
        <w:pStyle w:val="TextBody"/>
        <w:spacing w:before="0" w:after="0"/>
        <w:jc w:val="left"/>
        <w:rPr>
          <w:color w:val="000000"/>
          <w:highlight w:val="white"/>
        </w:rPr>
      </w:pPr>
      <w:r>
        <w:rPr>
          <w:color w:val="000000"/>
          <w:highlight w:val="white"/>
        </w:rPr>
        <w:t> </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is also not allocated to the operating segments.</w:t>
      </w:r>
    </w:p>
    <w:p>
      <w:pPr>
        <w:pStyle w:val="TextBody"/>
        <w:spacing w:before="0" w:after="0"/>
        <w:jc w:val="both"/>
        <w:rPr>
          <w:color w:val="000000"/>
          <w:highlight w:val="white"/>
        </w:rPr>
      </w:pPr>
      <w:r>
        <w:rPr>
          <w:color w:val="000000"/>
          <w:highlight w:val="white"/>
        </w:rPr>
        <w:t> </w:t>
      </w:r>
    </w:p>
    <w:p>
      <w:pPr>
        <w:pStyle w:val="TextBody"/>
        <w:spacing w:before="0" w:after="0"/>
        <w:ind w:left="0" w:right="0" w:firstLine="720"/>
        <w:jc w:val="left"/>
        <w:rPr/>
      </w:pPr>
      <w:r>
        <w:rPr/>
      </w:r>
    </w:p>
    <w:p>
      <w:pPr>
        <w:pStyle w:val="TextBody"/>
        <w:spacing w:before="0" w:after="0"/>
        <w:ind w:left="0" w:right="0" w:firstLine="720"/>
        <w:jc w:val="left"/>
        <w:rPr>
          <w:rFonts w:ascii="Times New Roman;Times;serif" w:hAnsi="Times New Roman;Times;serif"/>
          <w:color w:val="000000"/>
          <w:sz w:val="20"/>
          <w:highlight w:val="white"/>
        </w:rPr>
      </w:pPr>
      <w:r>
        <w:rPr>
          <w:rFonts w:ascii="Times New Roman;Times;serif" w:hAnsi="Times New Roman;Times;serif"/>
          <w:color w:val="000000"/>
          <w:sz w:val="20"/>
          <w:highlight w:val="white"/>
        </w:rPr>
        <w:t>The following tables reflect results of operations from our business segments for the periods indicated below (in thousands, except gross profit %):</w:t>
      </w:r>
    </w:p>
    <w:p>
      <w:pPr>
        <w:pStyle w:val="TextBody"/>
        <w:spacing w:before="0" w:after="0"/>
        <w:jc w:val="both"/>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888"/>
        <w:gridCol w:w="60"/>
        <w:gridCol w:w="387"/>
        <w:gridCol w:w="1895"/>
        <w:gridCol w:w="215"/>
        <w:gridCol w:w="60"/>
        <w:gridCol w:w="403"/>
        <w:gridCol w:w="1969"/>
        <w:gridCol w:w="215"/>
        <w:gridCol w:w="60"/>
        <w:gridCol w:w="140"/>
        <w:gridCol w:w="680"/>
        <w:gridCol w:w="233"/>
      </w:tblGrid>
      <w:tr>
        <w:trPr/>
        <w:tc>
          <w:tcPr>
            <w:tcW w:w="3888" w:type="dxa"/>
            <w:tcBorders/>
            <w:shd w:fill="auto" w:val="clear"/>
            <w:vAlign w:val="bottom"/>
          </w:tcPr>
          <w:p>
            <w:pPr>
              <w:pStyle w:val="TableContents"/>
              <w:spacing w:before="0" w:after="283"/>
              <w:rPr>
                <w:b/>
              </w:rPr>
            </w:pPr>
            <w:r>
              <w:rPr>
                <w:b/>
              </w:rPr>
              <w:t>Year Ended December 31, 2022</w:t>
            </w:r>
          </w:p>
        </w:tc>
        <w:tc>
          <w:tcPr>
            <w:tcW w:w="60" w:type="dxa"/>
            <w:tcBorders/>
            <w:shd w:fill="auto" w:val="clear"/>
            <w:vAlign w:val="bottom"/>
          </w:tcPr>
          <w:p>
            <w:pPr>
              <w:pStyle w:val="TableContents"/>
              <w:spacing w:before="0" w:after="283"/>
              <w:rPr/>
            </w:pPr>
            <w:r>
              <w:rPr/>
              <w:t> </w:t>
            </w:r>
          </w:p>
        </w:tc>
        <w:tc>
          <w:tcPr>
            <w:tcW w:w="228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w:t>
            </w:r>
          </w:p>
          <w:p>
            <w:pPr>
              <w:pStyle w:val="TableContents"/>
              <w:spacing w:before="0" w:after="0"/>
              <w:jc w:val="center"/>
              <w:rPr>
                <w:b/>
              </w:rPr>
            </w:pPr>
            <w:r>
              <w:rPr>
                <w:b/>
              </w:rPr>
              <w:t>Recurring Procedures</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7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w:t>
            </w:r>
          </w:p>
          <w:p>
            <w:pPr>
              <w:pStyle w:val="TableContents"/>
              <w:spacing w:before="0" w:after="0"/>
              <w:jc w:val="center"/>
              <w:rPr>
                <w:b/>
              </w:rPr>
            </w:pPr>
            <w:r>
              <w:rPr>
                <w:b/>
              </w:rPr>
              <w:t>Procedures Equipment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233" w:type="dxa"/>
            <w:tcBorders/>
            <w:shd w:fill="auto" w:val="clear"/>
            <w:vAlign w:val="bottom"/>
          </w:tcPr>
          <w:p>
            <w:pPr>
              <w:pStyle w:val="TableContents"/>
              <w:spacing w:before="0" w:after="283"/>
              <w:jc w:val="left"/>
              <w:rPr/>
            </w:pPr>
            <w:r>
              <w:rPr/>
              <w:t> </w:t>
            </w:r>
          </w:p>
        </w:tc>
      </w:tr>
      <w:tr>
        <w:trPr/>
        <w:tc>
          <w:tcPr>
            <w:tcW w:w="3888" w:type="dxa"/>
            <w:tcBorders/>
            <w:shd w:fill="CCEEFF" w:val="clear"/>
            <w:vAlign w:val="bottom"/>
          </w:tcPr>
          <w:p>
            <w:pPr>
              <w:pStyle w:val="TableContents"/>
              <w:spacing w:before="0" w:after="0"/>
              <w:jc w:val="both"/>
              <w:rPr/>
            </w:pPr>
            <w:r>
              <w:rPr/>
              <w:t>Revenues</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0"/>
              <w:jc w:val="left"/>
              <w:rPr/>
            </w:pPr>
            <w:r>
              <w:rPr/>
              <w:t>$</w:t>
            </w:r>
          </w:p>
        </w:tc>
        <w:tc>
          <w:tcPr>
            <w:tcW w:w="1895" w:type="dxa"/>
            <w:tcBorders/>
            <w:shd w:fill="CCEEFF" w:val="clear"/>
            <w:vAlign w:val="bottom"/>
          </w:tcPr>
          <w:p>
            <w:pPr>
              <w:pStyle w:val="TableContents"/>
              <w:spacing w:before="0" w:after="0"/>
              <w:jc w:val="right"/>
              <w:rPr/>
            </w:pPr>
            <w:r>
              <w:rPr/>
              <w:t>23,025</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0"/>
              <w:jc w:val="left"/>
              <w:rPr/>
            </w:pPr>
            <w:r>
              <w:rPr/>
              <w:t>$</w:t>
            </w:r>
          </w:p>
        </w:tc>
        <w:tc>
          <w:tcPr>
            <w:tcW w:w="1969" w:type="dxa"/>
            <w:tcBorders/>
            <w:shd w:fill="CCEEFF" w:val="clear"/>
            <w:vAlign w:val="bottom"/>
          </w:tcPr>
          <w:p>
            <w:pPr>
              <w:pStyle w:val="TableContents"/>
              <w:spacing w:before="0" w:after="0"/>
              <w:jc w:val="right"/>
              <w:rPr/>
            </w:pPr>
            <w:r>
              <w:rPr/>
              <w:t>13,136</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80" w:type="dxa"/>
            <w:tcBorders/>
            <w:shd w:fill="CCEEFF" w:val="clear"/>
            <w:vAlign w:val="bottom"/>
          </w:tcPr>
          <w:p>
            <w:pPr>
              <w:pStyle w:val="TableContents"/>
              <w:spacing w:before="0" w:after="0"/>
              <w:jc w:val="right"/>
              <w:rPr/>
            </w:pPr>
            <w:r>
              <w:rPr/>
              <w:t>36,161</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0"/>
              <w:jc w:val="both"/>
              <w:rPr/>
            </w:pPr>
            <w:r>
              <w:rPr/>
              <w:t>Cost of revenues</w:t>
            </w:r>
          </w:p>
        </w:tc>
        <w:tc>
          <w:tcPr>
            <w:tcW w:w="60" w:type="dxa"/>
            <w:tcBorders/>
            <w:shd w:fill="auto" w:val="clear"/>
            <w:vAlign w:val="bottom"/>
          </w:tcPr>
          <w:p>
            <w:pPr>
              <w:pStyle w:val="TableContents"/>
              <w:spacing w:before="0" w:after="283"/>
              <w:jc w:val="right"/>
              <w:rPr/>
            </w:pPr>
            <w:r>
              <w:rPr/>
              <w:t> </w:t>
            </w:r>
          </w:p>
        </w:tc>
        <w:tc>
          <w:tcPr>
            <w:tcW w:w="3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auto" w:val="clear"/>
            <w:tcMar>
              <w:bottom w:w="28" w:type="dxa"/>
            </w:tcMar>
            <w:vAlign w:val="bottom"/>
          </w:tcPr>
          <w:p>
            <w:pPr>
              <w:pStyle w:val="TableContents"/>
              <w:spacing w:before="0" w:after="0"/>
              <w:jc w:val="right"/>
              <w:rPr/>
            </w:pPr>
            <w:r>
              <w:rPr/>
              <w:t>8,371</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69" w:type="dxa"/>
            <w:tcBorders>
              <w:bottom w:val="single" w:sz="12" w:space="0" w:color="000000"/>
            </w:tcBorders>
            <w:shd w:fill="auto" w:val="clear"/>
            <w:tcMar>
              <w:bottom w:w="28" w:type="dxa"/>
            </w:tcMar>
            <w:vAlign w:val="bottom"/>
          </w:tcPr>
          <w:p>
            <w:pPr>
              <w:pStyle w:val="TableContents"/>
              <w:spacing w:before="0" w:after="0"/>
              <w:jc w:val="right"/>
              <w:rPr/>
            </w:pPr>
            <w:r>
              <w:rPr/>
              <w:t>6,022</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14,393</w:t>
            </w:r>
          </w:p>
        </w:tc>
        <w:tc>
          <w:tcPr>
            <w:tcW w:w="233" w:type="dxa"/>
            <w:tcBorders/>
            <w:shd w:fill="auto" w:val="clear"/>
            <w:vAlign w:val="bottom"/>
          </w:tcPr>
          <w:p>
            <w:pPr>
              <w:pStyle w:val="TableContents"/>
              <w:spacing w:before="0" w:after="283"/>
              <w:jc w:val="left"/>
              <w:rPr/>
            </w:pPr>
            <w:r>
              <w:rPr/>
              <w:t> </w:t>
            </w:r>
          </w:p>
        </w:tc>
      </w:tr>
      <w:tr>
        <w:trPr/>
        <w:tc>
          <w:tcPr>
            <w:tcW w:w="3888" w:type="dxa"/>
            <w:tcBorders/>
            <w:shd w:fill="CCEEFF" w:val="clear"/>
            <w:vAlign w:val="bottom"/>
          </w:tcPr>
          <w:p>
            <w:pPr>
              <w:pStyle w:val="TableContents"/>
              <w:spacing w:before="0" w:after="0"/>
              <w:jc w:val="both"/>
              <w:rPr/>
            </w:pPr>
            <w:r>
              <w:rPr/>
              <w:t>Gross profit</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0"/>
              <w:jc w:val="right"/>
              <w:rPr/>
            </w:pPr>
            <w:r>
              <w:rPr/>
              <w:t>14,654</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969" w:type="dxa"/>
            <w:tcBorders>
              <w:bottom w:val="single" w:sz="12" w:space="0" w:color="000000"/>
            </w:tcBorders>
            <w:shd w:fill="CCEEFF" w:val="clear"/>
            <w:tcMar>
              <w:bottom w:w="28" w:type="dxa"/>
            </w:tcMar>
            <w:vAlign w:val="bottom"/>
          </w:tcPr>
          <w:p>
            <w:pPr>
              <w:pStyle w:val="TableContents"/>
              <w:spacing w:before="0" w:after="0"/>
              <w:jc w:val="right"/>
              <w:rPr/>
            </w:pPr>
            <w:r>
              <w:rPr/>
              <w:t>7,114</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21,768</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0"/>
              <w:jc w:val="both"/>
              <w:rPr>
                <w:i w:val="false"/>
                <w:caps w:val="false"/>
                <w:smallCaps w:val="false"/>
              </w:rPr>
            </w:pPr>
            <w:r>
              <w:rPr>
                <w:i w:val="false"/>
                <w:caps w:val="false"/>
                <w:smallCaps w:val="false"/>
              </w:rPr>
              <w:t>Gross profit %</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63.6</w:t>
            </w:r>
          </w:p>
        </w:tc>
        <w:tc>
          <w:tcPr>
            <w:tcW w:w="21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969" w:type="dxa"/>
            <w:tcBorders/>
            <w:shd w:fill="auto" w:val="clear"/>
            <w:vAlign w:val="bottom"/>
          </w:tcPr>
          <w:p>
            <w:pPr>
              <w:pStyle w:val="TableContents"/>
              <w:spacing w:before="0" w:after="0"/>
              <w:jc w:val="right"/>
              <w:rPr/>
            </w:pPr>
            <w:r>
              <w:rPr/>
              <w:t>54.2</w:t>
            </w:r>
          </w:p>
        </w:tc>
        <w:tc>
          <w:tcPr>
            <w:tcW w:w="21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60.2</w:t>
            </w:r>
          </w:p>
        </w:tc>
        <w:tc>
          <w:tcPr>
            <w:tcW w:w="233" w:type="dxa"/>
            <w:tcBorders/>
            <w:shd w:fill="auto" w:val="clear"/>
            <w:vAlign w:val="bottom"/>
          </w:tcPr>
          <w:p>
            <w:pPr>
              <w:pStyle w:val="TableContents"/>
              <w:spacing w:before="0" w:after="0"/>
              <w:jc w:val="left"/>
              <w:rPr/>
            </w:pPr>
            <w:r>
              <w:rPr/>
              <w:t>%</w:t>
            </w:r>
          </w:p>
        </w:tc>
      </w:tr>
      <w:tr>
        <w:trPr/>
        <w:tc>
          <w:tcPr>
            <w:tcW w:w="388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969"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0"/>
              <w:jc w:val="both"/>
              <w:rPr/>
            </w:pPr>
            <w:r>
              <w:rPr/>
              <w:t>Allocated expenses:</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969"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jc w:val="left"/>
              <w:rPr/>
            </w:pPr>
            <w:r>
              <w:rPr/>
              <w:t> </w:t>
            </w:r>
          </w:p>
        </w:tc>
      </w:tr>
      <w:tr>
        <w:trPr/>
        <w:tc>
          <w:tcPr>
            <w:tcW w:w="3888" w:type="dxa"/>
            <w:tcBorders/>
            <w:shd w:fill="CCEEFF" w:val="clear"/>
            <w:vAlign w:val="bottom"/>
          </w:tcPr>
          <w:p>
            <w:pPr>
              <w:pStyle w:val="TableContents"/>
              <w:spacing w:before="0" w:after="0"/>
              <w:jc w:val="both"/>
              <w:rPr/>
            </w:pPr>
            <w:r>
              <w:rPr/>
              <w:t>Engineering and product development</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0"/>
              <w:jc w:val="right"/>
              <w:rPr/>
            </w:pPr>
            <w:r>
              <w:rPr/>
              <w:t>672</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969" w:type="dxa"/>
            <w:tcBorders/>
            <w:shd w:fill="CCEEFF" w:val="clear"/>
            <w:vAlign w:val="bottom"/>
          </w:tcPr>
          <w:p>
            <w:pPr>
              <w:pStyle w:val="TableContents"/>
              <w:spacing w:before="0" w:after="0"/>
              <w:jc w:val="right"/>
              <w:rPr/>
            </w:pPr>
            <w:r>
              <w:rPr/>
              <w:t>357</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1,029</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0"/>
              <w:jc w:val="both"/>
              <w:rPr/>
            </w:pPr>
            <w:r>
              <w:rPr/>
              <w:t>Selling and marketing</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13,503</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969" w:type="dxa"/>
            <w:tcBorders/>
            <w:shd w:fill="auto" w:val="clear"/>
            <w:vAlign w:val="bottom"/>
          </w:tcPr>
          <w:p>
            <w:pPr>
              <w:pStyle w:val="TableContents"/>
              <w:spacing w:before="0" w:after="0"/>
              <w:jc w:val="right"/>
              <w:rPr/>
            </w:pPr>
            <w:r>
              <w:rPr/>
              <w:t>1,798</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15,301</w:t>
            </w:r>
          </w:p>
        </w:tc>
        <w:tc>
          <w:tcPr>
            <w:tcW w:w="233" w:type="dxa"/>
            <w:tcBorders/>
            <w:shd w:fill="auto" w:val="clear"/>
            <w:vAlign w:val="bottom"/>
          </w:tcPr>
          <w:p>
            <w:pPr>
              <w:pStyle w:val="TableContents"/>
              <w:spacing w:before="0" w:after="283"/>
              <w:jc w:val="left"/>
              <w:rPr/>
            </w:pPr>
            <w:r>
              <w:rPr/>
              <w:t> </w:t>
            </w:r>
          </w:p>
        </w:tc>
      </w:tr>
      <w:tr>
        <w:trPr/>
        <w:tc>
          <w:tcPr>
            <w:tcW w:w="3888" w:type="dxa"/>
            <w:tcBorders/>
            <w:shd w:fill="CCEEFF" w:val="clear"/>
            <w:vAlign w:val="bottom"/>
          </w:tcPr>
          <w:p>
            <w:pPr>
              <w:pStyle w:val="TableContents"/>
              <w:spacing w:before="0" w:after="0"/>
              <w:jc w:val="both"/>
              <w:rPr/>
            </w:pPr>
            <w:r>
              <w:rPr/>
              <w:t>Unallocated expenses</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96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10,087</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auto" w:val="clear"/>
            <w:tcMar>
              <w:bottom w:w="28" w:type="dxa"/>
            </w:tcMar>
            <w:vAlign w:val="bottom"/>
          </w:tcPr>
          <w:p>
            <w:pPr>
              <w:pStyle w:val="TableContents"/>
              <w:spacing w:before="0" w:after="0"/>
              <w:jc w:val="right"/>
              <w:rPr/>
            </w:pPr>
            <w:r>
              <w:rPr/>
              <w:t>14,175</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69" w:type="dxa"/>
            <w:tcBorders>
              <w:bottom w:val="single" w:sz="12" w:space="0" w:color="000000"/>
            </w:tcBorders>
            <w:shd w:fill="auto" w:val="clear"/>
            <w:tcMar>
              <w:bottom w:w="28" w:type="dxa"/>
            </w:tcMar>
            <w:vAlign w:val="bottom"/>
          </w:tcPr>
          <w:p>
            <w:pPr>
              <w:pStyle w:val="TableContents"/>
              <w:spacing w:before="0" w:after="0"/>
              <w:jc w:val="right"/>
              <w:rPr/>
            </w:pPr>
            <w:r>
              <w:rPr/>
              <w:t>2,155</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26,417</w:t>
            </w:r>
          </w:p>
        </w:tc>
        <w:tc>
          <w:tcPr>
            <w:tcW w:w="233" w:type="dxa"/>
            <w:tcBorders/>
            <w:shd w:fill="auto" w:val="clear"/>
            <w:vAlign w:val="bottom"/>
          </w:tcPr>
          <w:p>
            <w:pPr>
              <w:pStyle w:val="TableContents"/>
              <w:spacing w:before="0" w:after="283"/>
              <w:jc w:val="left"/>
              <w:rPr/>
            </w:pPr>
            <w:r>
              <w:rPr/>
              <w:t> </w:t>
            </w:r>
          </w:p>
        </w:tc>
      </w:tr>
      <w:tr>
        <w:trPr/>
        <w:tc>
          <w:tcPr>
            <w:tcW w:w="3888" w:type="dxa"/>
            <w:tcBorders/>
            <w:shd w:fill="CCEEFF" w:val="clear"/>
            <w:vAlign w:val="bottom"/>
          </w:tcPr>
          <w:p>
            <w:pPr>
              <w:pStyle w:val="TableContents"/>
              <w:spacing w:before="0" w:after="0"/>
              <w:jc w:val="both"/>
              <w:rPr/>
            </w:pPr>
            <w:r>
              <w:rPr/>
              <w:t>Income (loss) from operations</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0"/>
              <w:jc w:val="right"/>
              <w:rPr/>
            </w:pPr>
            <w:r>
              <w:rPr/>
              <w:t>479</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969" w:type="dxa"/>
            <w:tcBorders/>
            <w:shd w:fill="CCEEFF" w:val="clear"/>
            <w:vAlign w:val="bottom"/>
          </w:tcPr>
          <w:p>
            <w:pPr>
              <w:pStyle w:val="TableContents"/>
              <w:spacing w:before="0" w:after="0"/>
              <w:jc w:val="right"/>
              <w:rPr/>
            </w:pPr>
            <w:r>
              <w:rPr/>
              <w:t>4,959</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(4,649</w:t>
            </w:r>
          </w:p>
        </w:tc>
        <w:tc>
          <w:tcPr>
            <w:tcW w:w="233" w:type="dxa"/>
            <w:tcBorders/>
            <w:shd w:fill="CCEEFF" w:val="clear"/>
            <w:vAlign w:val="bottom"/>
          </w:tcPr>
          <w:p>
            <w:pPr>
              <w:pStyle w:val="TableContents"/>
              <w:spacing w:before="0" w:after="0"/>
              <w:jc w:val="left"/>
              <w:rPr/>
            </w:pPr>
            <w:r>
              <w:rPr/>
              <w:t>)</w:t>
            </w:r>
          </w:p>
        </w:tc>
      </w:tr>
      <w:tr>
        <w:trPr/>
        <w:tc>
          <w:tcPr>
            <w:tcW w:w="3888" w:type="dxa"/>
            <w:tcBorders/>
            <w:shd w:fill="auto" w:val="clear"/>
            <w:vAlign w:val="bottom"/>
          </w:tcPr>
          <w:p>
            <w:pPr>
              <w:pStyle w:val="TableContents"/>
              <w:spacing w:before="0" w:after="0"/>
              <w:jc w:val="both"/>
              <w:rPr/>
            </w:pPr>
            <w:r>
              <w:rPr/>
              <w:t>Interest expense</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969"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(926</w:t>
            </w:r>
          </w:p>
        </w:tc>
        <w:tc>
          <w:tcPr>
            <w:tcW w:w="233" w:type="dxa"/>
            <w:tcBorders/>
            <w:shd w:fill="auto" w:val="clear"/>
            <w:vAlign w:val="bottom"/>
          </w:tcPr>
          <w:p>
            <w:pPr>
              <w:pStyle w:val="TableContents"/>
              <w:spacing w:before="0" w:after="0"/>
              <w:jc w:val="left"/>
              <w:rPr/>
            </w:pPr>
            <w:r>
              <w:rPr/>
              <w:t>)</w:t>
            </w:r>
          </w:p>
        </w:tc>
      </w:tr>
      <w:tr>
        <w:trPr/>
        <w:tc>
          <w:tcPr>
            <w:tcW w:w="3888" w:type="dxa"/>
            <w:tcBorders/>
            <w:shd w:fill="CCEEFF" w:val="clear"/>
            <w:vAlign w:val="bottom"/>
          </w:tcPr>
          <w:p>
            <w:pPr>
              <w:pStyle w:val="TableContents"/>
              <w:spacing w:before="0" w:after="283"/>
              <w:rPr/>
            </w:pPr>
            <w:r>
              <w:rPr/>
              <w:t>Interest income</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969"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283"/>
              <w:jc w:val="right"/>
              <w:rPr/>
            </w:pPr>
            <w:r>
              <w:rPr/>
              <w:t>89</w:t>
            </w:r>
          </w:p>
        </w:tc>
        <w:tc>
          <w:tcPr>
            <w:tcW w:w="233" w:type="dxa"/>
            <w:tcBorders/>
            <w:shd w:fill="CCEEFF" w:val="clear"/>
            <w:vAlign w:val="bottom"/>
          </w:tcPr>
          <w:p>
            <w:pPr>
              <w:pStyle w:val="TableContents"/>
              <w:spacing w:before="0" w:after="283"/>
              <w:jc w:val="left"/>
              <w:rPr/>
            </w:pPr>
            <w:r>
              <w:rPr/>
              <w:t> </w:t>
            </w:r>
          </w:p>
        </w:tc>
      </w:tr>
      <w:tr>
        <w:trPr/>
        <w:tc>
          <w:tcPr>
            <w:tcW w:w="3888" w:type="dxa"/>
            <w:tcBorders/>
            <w:shd w:fill="auto" w:val="clear"/>
            <w:vAlign w:val="bottom"/>
          </w:tcPr>
          <w:p>
            <w:pPr>
              <w:pStyle w:val="TableContents"/>
              <w:spacing w:before="0" w:after="0"/>
              <w:jc w:val="both"/>
              <w:rPr/>
            </w:pPr>
            <w:r>
              <w:rPr/>
              <w:t>Income (loss) before income tax expense</w:t>
            </w:r>
          </w:p>
        </w:tc>
        <w:tc>
          <w:tcPr>
            <w:tcW w:w="60" w:type="dxa"/>
            <w:tcBorders/>
            <w:shd w:fill="auto" w:val="clear"/>
            <w:vAlign w:val="bottom"/>
          </w:tcPr>
          <w:p>
            <w:pPr>
              <w:pStyle w:val="TableContents"/>
              <w:spacing w:before="0" w:after="283"/>
              <w:jc w:val="right"/>
              <w:rPr/>
            </w:pPr>
            <w:r>
              <w:rPr/>
              <w:t> </w:t>
            </w:r>
          </w:p>
        </w:tc>
        <w:tc>
          <w:tcPr>
            <w:tcW w:w="38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895" w:type="dxa"/>
            <w:tcBorders>
              <w:bottom w:val="double" w:sz="8" w:space="0" w:color="000000"/>
            </w:tcBorders>
            <w:shd w:fill="auto" w:val="clear"/>
            <w:tcMar>
              <w:bottom w:w="28" w:type="dxa"/>
            </w:tcMar>
            <w:vAlign w:val="bottom"/>
          </w:tcPr>
          <w:p>
            <w:pPr>
              <w:pStyle w:val="TableContents"/>
              <w:spacing w:before="0" w:after="0"/>
              <w:jc w:val="right"/>
              <w:rPr/>
            </w:pPr>
            <w:r>
              <w:rPr/>
              <w:t>479</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969" w:type="dxa"/>
            <w:tcBorders>
              <w:bottom w:val="double" w:sz="8" w:space="0" w:color="000000"/>
            </w:tcBorders>
            <w:shd w:fill="auto" w:val="clear"/>
            <w:tcMar>
              <w:bottom w:w="28" w:type="dxa"/>
            </w:tcMar>
            <w:vAlign w:val="bottom"/>
          </w:tcPr>
          <w:p>
            <w:pPr>
              <w:pStyle w:val="TableContents"/>
              <w:spacing w:before="0" w:after="0"/>
              <w:jc w:val="right"/>
              <w:rPr/>
            </w:pPr>
            <w:r>
              <w:rPr/>
              <w:t>4,959</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(5,486</w:t>
            </w:r>
          </w:p>
        </w:tc>
        <w:tc>
          <w:tcPr>
            <w:tcW w:w="233" w:type="dxa"/>
            <w:tcBorders/>
            <w:shd w:fill="auto" w:val="clear"/>
            <w:vAlign w:val="bottom"/>
          </w:tcPr>
          <w:p>
            <w:pPr>
              <w:pStyle w:val="TableContents"/>
              <w:spacing w:before="0" w:after="0"/>
              <w:jc w:val="left"/>
              <w:rPr/>
            </w:pPr>
            <w:r>
              <w:rPr/>
              <w: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F-29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tbl>
      <w:tblPr>
        <w:tblW w:w="10205" w:type="dxa"/>
        <w:jc w:val="left"/>
        <w:tblInd w:w="0" w:type="dxa"/>
        <w:tblCellMar>
          <w:top w:w="0" w:type="dxa"/>
          <w:left w:w="0" w:type="dxa"/>
          <w:bottom w:w="0" w:type="dxa"/>
          <w:right w:w="0" w:type="dxa"/>
        </w:tblCellMar>
      </w:tblPr>
      <w:tblGrid>
        <w:gridCol w:w="3887"/>
        <w:gridCol w:w="60"/>
        <w:gridCol w:w="387"/>
        <w:gridCol w:w="1895"/>
        <w:gridCol w:w="215"/>
        <w:gridCol w:w="60"/>
        <w:gridCol w:w="474"/>
        <w:gridCol w:w="1899"/>
        <w:gridCol w:w="215"/>
        <w:gridCol w:w="60"/>
        <w:gridCol w:w="140"/>
        <w:gridCol w:w="680"/>
        <w:gridCol w:w="233"/>
      </w:tblGrid>
      <w:tr>
        <w:trPr/>
        <w:tc>
          <w:tcPr>
            <w:tcW w:w="3887" w:type="dxa"/>
            <w:tcBorders/>
            <w:shd w:fill="auto" w:val="clear"/>
            <w:vAlign w:val="bottom"/>
          </w:tcPr>
          <w:p>
            <w:pPr>
              <w:pStyle w:val="TableContents"/>
              <w:spacing w:before="0" w:after="283"/>
              <w:rPr>
                <w:b/>
              </w:rPr>
            </w:pPr>
            <w:r>
              <w:rPr>
                <w:b/>
              </w:rPr>
              <w:t>Year Ended December 31, 2021</w:t>
            </w:r>
          </w:p>
        </w:tc>
        <w:tc>
          <w:tcPr>
            <w:tcW w:w="60" w:type="dxa"/>
            <w:tcBorders/>
            <w:shd w:fill="auto" w:val="clear"/>
            <w:vAlign w:val="bottom"/>
          </w:tcPr>
          <w:p>
            <w:pPr>
              <w:pStyle w:val="TableContents"/>
              <w:spacing w:before="0" w:after="283"/>
              <w:rPr/>
            </w:pPr>
            <w:r>
              <w:rPr/>
              <w:t> </w:t>
            </w:r>
          </w:p>
        </w:tc>
        <w:tc>
          <w:tcPr>
            <w:tcW w:w="2282"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w:t>
            </w:r>
          </w:p>
          <w:p>
            <w:pPr>
              <w:pStyle w:val="TableContents"/>
              <w:spacing w:before="0" w:after="0"/>
              <w:jc w:val="center"/>
              <w:rPr>
                <w:b/>
              </w:rPr>
            </w:pPr>
            <w:r>
              <w:rPr>
                <w:b/>
              </w:rPr>
              <w:t>Recurring Procedures</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373"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w:t>
            </w:r>
          </w:p>
          <w:p>
            <w:pPr>
              <w:pStyle w:val="TableContents"/>
              <w:spacing w:before="0" w:after="0"/>
              <w:jc w:val="center"/>
              <w:rPr>
                <w:b/>
              </w:rPr>
            </w:pPr>
            <w:r>
              <w:rPr>
                <w:b/>
              </w:rPr>
              <w:t>Procedures Equipment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233" w:type="dxa"/>
            <w:tcBorders/>
            <w:shd w:fill="auto" w:val="clear"/>
            <w:vAlign w:val="bottom"/>
          </w:tcPr>
          <w:p>
            <w:pPr>
              <w:pStyle w:val="TableContents"/>
              <w:spacing w:before="0" w:after="283"/>
              <w:jc w:val="left"/>
              <w:rPr/>
            </w:pPr>
            <w:r>
              <w:rPr/>
              <w:t> </w:t>
            </w:r>
          </w:p>
        </w:tc>
      </w:tr>
      <w:tr>
        <w:trPr/>
        <w:tc>
          <w:tcPr>
            <w:tcW w:w="3887" w:type="dxa"/>
            <w:tcBorders/>
            <w:shd w:fill="CCEEFF" w:val="clear"/>
            <w:vAlign w:val="bottom"/>
          </w:tcPr>
          <w:p>
            <w:pPr>
              <w:pStyle w:val="TableContents"/>
              <w:spacing w:before="0" w:after="0"/>
              <w:jc w:val="both"/>
              <w:rPr/>
            </w:pPr>
            <w:r>
              <w:rPr/>
              <w:t>Revenues</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0"/>
              <w:jc w:val="left"/>
              <w:rPr/>
            </w:pPr>
            <w:r>
              <w:rPr/>
              <w:t>$</w:t>
            </w:r>
          </w:p>
        </w:tc>
        <w:tc>
          <w:tcPr>
            <w:tcW w:w="1895" w:type="dxa"/>
            <w:tcBorders/>
            <w:shd w:fill="CCEEFF" w:val="clear"/>
            <w:vAlign w:val="bottom"/>
          </w:tcPr>
          <w:p>
            <w:pPr>
              <w:pStyle w:val="TableContents"/>
              <w:spacing w:before="0" w:after="0"/>
              <w:jc w:val="right"/>
              <w:rPr/>
            </w:pPr>
            <w:r>
              <w:rPr/>
              <w:t>22,528</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shd w:fill="CCEEFF" w:val="clear"/>
            <w:vAlign w:val="bottom"/>
          </w:tcPr>
          <w:p>
            <w:pPr>
              <w:pStyle w:val="TableContents"/>
              <w:spacing w:before="0" w:after="0"/>
              <w:jc w:val="left"/>
              <w:rPr/>
            </w:pPr>
            <w:r>
              <w:rPr/>
              <w:t>$</w:t>
            </w:r>
          </w:p>
        </w:tc>
        <w:tc>
          <w:tcPr>
            <w:tcW w:w="1899" w:type="dxa"/>
            <w:tcBorders/>
            <w:shd w:fill="CCEEFF" w:val="clear"/>
            <w:vAlign w:val="bottom"/>
          </w:tcPr>
          <w:p>
            <w:pPr>
              <w:pStyle w:val="TableContents"/>
              <w:spacing w:before="0" w:after="0"/>
              <w:jc w:val="right"/>
              <w:rPr/>
            </w:pPr>
            <w:r>
              <w:rPr/>
              <w:t>7,449</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80" w:type="dxa"/>
            <w:tcBorders/>
            <w:shd w:fill="CCEEFF" w:val="clear"/>
            <w:vAlign w:val="bottom"/>
          </w:tcPr>
          <w:p>
            <w:pPr>
              <w:pStyle w:val="TableContents"/>
              <w:spacing w:before="0" w:after="0"/>
              <w:jc w:val="right"/>
              <w:rPr/>
            </w:pPr>
            <w:r>
              <w:rPr/>
              <w:t>29,977</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0"/>
              <w:jc w:val="both"/>
              <w:rPr/>
            </w:pPr>
            <w:r>
              <w:rPr/>
              <w:t>Cost of revenues</w:t>
            </w:r>
          </w:p>
        </w:tc>
        <w:tc>
          <w:tcPr>
            <w:tcW w:w="60" w:type="dxa"/>
            <w:tcBorders/>
            <w:shd w:fill="auto" w:val="clear"/>
            <w:vAlign w:val="bottom"/>
          </w:tcPr>
          <w:p>
            <w:pPr>
              <w:pStyle w:val="TableContents"/>
              <w:spacing w:before="0" w:after="283"/>
              <w:jc w:val="right"/>
              <w:rPr/>
            </w:pPr>
            <w:r>
              <w:rPr/>
              <w:t> </w:t>
            </w:r>
          </w:p>
        </w:tc>
        <w:tc>
          <w:tcPr>
            <w:tcW w:w="3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auto" w:val="clear"/>
            <w:tcMar>
              <w:bottom w:w="28" w:type="dxa"/>
            </w:tcMar>
            <w:vAlign w:val="bottom"/>
          </w:tcPr>
          <w:p>
            <w:pPr>
              <w:pStyle w:val="TableContents"/>
              <w:spacing w:before="0" w:after="0"/>
              <w:jc w:val="right"/>
              <w:rPr/>
            </w:pPr>
            <w:r>
              <w:rPr/>
              <w:t>6,418</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9" w:type="dxa"/>
            <w:tcBorders>
              <w:bottom w:val="single" w:sz="12" w:space="0" w:color="000000"/>
            </w:tcBorders>
            <w:shd w:fill="auto" w:val="clear"/>
            <w:tcMar>
              <w:bottom w:w="28" w:type="dxa"/>
            </w:tcMar>
            <w:vAlign w:val="bottom"/>
          </w:tcPr>
          <w:p>
            <w:pPr>
              <w:pStyle w:val="TableContents"/>
              <w:spacing w:before="0" w:after="0"/>
              <w:jc w:val="right"/>
              <w:rPr/>
            </w:pPr>
            <w:r>
              <w:rPr/>
              <w:t>3,709</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10,127</w:t>
            </w:r>
          </w:p>
        </w:tc>
        <w:tc>
          <w:tcPr>
            <w:tcW w:w="233" w:type="dxa"/>
            <w:tcBorders/>
            <w:shd w:fill="auto" w:val="clear"/>
            <w:vAlign w:val="bottom"/>
          </w:tcPr>
          <w:p>
            <w:pPr>
              <w:pStyle w:val="TableContents"/>
              <w:spacing w:before="0" w:after="283"/>
              <w:jc w:val="left"/>
              <w:rPr/>
            </w:pPr>
            <w:r>
              <w:rPr/>
              <w:t> </w:t>
            </w:r>
          </w:p>
        </w:tc>
      </w:tr>
      <w:tr>
        <w:trPr/>
        <w:tc>
          <w:tcPr>
            <w:tcW w:w="3887" w:type="dxa"/>
            <w:tcBorders/>
            <w:shd w:fill="CCEEFF" w:val="clear"/>
            <w:vAlign w:val="bottom"/>
          </w:tcPr>
          <w:p>
            <w:pPr>
              <w:pStyle w:val="TableContents"/>
              <w:spacing w:before="0" w:after="0"/>
              <w:jc w:val="both"/>
              <w:rPr/>
            </w:pPr>
            <w:r>
              <w:rPr/>
              <w:t>Gross profit</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0"/>
              <w:jc w:val="right"/>
              <w:rPr/>
            </w:pPr>
            <w:r>
              <w:rPr/>
              <w:t>16,110</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9" w:type="dxa"/>
            <w:tcBorders>
              <w:bottom w:val="single" w:sz="12" w:space="0" w:color="000000"/>
            </w:tcBorders>
            <w:shd w:fill="CCEEFF" w:val="clear"/>
            <w:tcMar>
              <w:bottom w:w="28" w:type="dxa"/>
            </w:tcMar>
            <w:vAlign w:val="bottom"/>
          </w:tcPr>
          <w:p>
            <w:pPr>
              <w:pStyle w:val="TableContents"/>
              <w:spacing w:before="0" w:after="0"/>
              <w:jc w:val="right"/>
              <w:rPr/>
            </w:pPr>
            <w:r>
              <w:rPr/>
              <w:t>3,740</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19,850</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0"/>
              <w:jc w:val="both"/>
              <w:rPr>
                <w:i w:val="false"/>
                <w:caps w:val="false"/>
                <w:smallCaps w:val="false"/>
              </w:rPr>
            </w:pPr>
            <w:r>
              <w:rPr>
                <w:i w:val="false"/>
                <w:caps w:val="false"/>
                <w:smallCaps w:val="false"/>
              </w:rPr>
              <w:t>Gross profit %</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71.5</w:t>
            </w:r>
          </w:p>
        </w:tc>
        <w:tc>
          <w:tcPr>
            <w:tcW w:w="21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474" w:type="dxa"/>
            <w:tcBorders/>
            <w:shd w:fill="auto" w:val="clear"/>
            <w:vAlign w:val="bottom"/>
          </w:tcPr>
          <w:p>
            <w:pPr>
              <w:pStyle w:val="TableContents"/>
              <w:spacing w:before="0" w:after="283"/>
              <w:jc w:val="left"/>
              <w:rPr/>
            </w:pPr>
            <w:r>
              <w:rPr/>
              <w:t> </w:t>
            </w:r>
          </w:p>
        </w:tc>
        <w:tc>
          <w:tcPr>
            <w:tcW w:w="1899" w:type="dxa"/>
            <w:tcBorders/>
            <w:shd w:fill="auto" w:val="clear"/>
            <w:vAlign w:val="bottom"/>
          </w:tcPr>
          <w:p>
            <w:pPr>
              <w:pStyle w:val="TableContents"/>
              <w:spacing w:before="0" w:after="0"/>
              <w:jc w:val="right"/>
              <w:rPr/>
            </w:pPr>
            <w:r>
              <w:rPr/>
              <w:t>50.2</w:t>
            </w:r>
          </w:p>
        </w:tc>
        <w:tc>
          <w:tcPr>
            <w:tcW w:w="21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66.2</w:t>
            </w:r>
          </w:p>
        </w:tc>
        <w:tc>
          <w:tcPr>
            <w:tcW w:w="233" w:type="dxa"/>
            <w:tcBorders/>
            <w:shd w:fill="auto" w:val="clear"/>
            <w:vAlign w:val="bottom"/>
          </w:tcPr>
          <w:p>
            <w:pPr>
              <w:pStyle w:val="TableContents"/>
              <w:spacing w:before="0" w:after="0"/>
              <w:jc w:val="left"/>
              <w:rPr/>
            </w:pPr>
            <w:r>
              <w:rPr/>
              <w:t>%</w:t>
            </w:r>
          </w:p>
        </w:tc>
      </w:tr>
      <w:tr>
        <w:trPr/>
        <w:tc>
          <w:tcPr>
            <w:tcW w:w="388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shd w:fill="CCEEFF" w:val="clear"/>
            <w:vAlign w:val="bottom"/>
          </w:tcPr>
          <w:p>
            <w:pPr>
              <w:pStyle w:val="TableContents"/>
              <w:spacing w:before="0" w:after="283"/>
              <w:jc w:val="left"/>
              <w:rPr/>
            </w:pPr>
            <w:r>
              <w:rPr/>
              <w:t> </w:t>
            </w:r>
          </w:p>
        </w:tc>
        <w:tc>
          <w:tcPr>
            <w:tcW w:w="1899"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0"/>
              <w:jc w:val="both"/>
              <w:rPr/>
            </w:pPr>
            <w:r>
              <w:rPr/>
              <w:t>Allocated expenses:</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shd w:fill="auto" w:val="clear"/>
            <w:vAlign w:val="bottom"/>
          </w:tcPr>
          <w:p>
            <w:pPr>
              <w:pStyle w:val="TableContents"/>
              <w:spacing w:before="0" w:after="283"/>
              <w:jc w:val="left"/>
              <w:rPr/>
            </w:pPr>
            <w:r>
              <w:rPr/>
              <w:t> </w:t>
            </w:r>
          </w:p>
        </w:tc>
        <w:tc>
          <w:tcPr>
            <w:tcW w:w="1899"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233" w:type="dxa"/>
            <w:tcBorders/>
            <w:shd w:fill="auto" w:val="clear"/>
            <w:vAlign w:val="bottom"/>
          </w:tcPr>
          <w:p>
            <w:pPr>
              <w:pStyle w:val="TableContents"/>
              <w:spacing w:before="0" w:after="283"/>
              <w:jc w:val="left"/>
              <w:rPr/>
            </w:pPr>
            <w:r>
              <w:rPr/>
              <w:t> </w:t>
            </w:r>
          </w:p>
        </w:tc>
      </w:tr>
      <w:tr>
        <w:trPr/>
        <w:tc>
          <w:tcPr>
            <w:tcW w:w="3887" w:type="dxa"/>
            <w:tcBorders/>
            <w:shd w:fill="CCEEFF" w:val="clear"/>
            <w:vAlign w:val="bottom"/>
          </w:tcPr>
          <w:p>
            <w:pPr>
              <w:pStyle w:val="TableContents"/>
              <w:spacing w:before="0" w:after="0"/>
              <w:jc w:val="both"/>
              <w:rPr/>
            </w:pPr>
            <w:r>
              <w:rPr/>
              <w:t>Engineering and product development</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0"/>
              <w:jc w:val="right"/>
              <w:rPr/>
            </w:pPr>
            <w:r>
              <w:rPr/>
              <w:t>1,251</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shd w:fill="CCEEFF" w:val="clear"/>
            <w:vAlign w:val="bottom"/>
          </w:tcPr>
          <w:p>
            <w:pPr>
              <w:pStyle w:val="TableContents"/>
              <w:spacing w:before="0" w:after="283"/>
              <w:jc w:val="left"/>
              <w:rPr/>
            </w:pPr>
            <w:r>
              <w:rPr/>
              <w:t> </w:t>
            </w:r>
          </w:p>
        </w:tc>
        <w:tc>
          <w:tcPr>
            <w:tcW w:w="1899" w:type="dxa"/>
            <w:tcBorders/>
            <w:shd w:fill="CCEEFF" w:val="clear"/>
            <w:vAlign w:val="bottom"/>
          </w:tcPr>
          <w:p>
            <w:pPr>
              <w:pStyle w:val="TableContents"/>
              <w:spacing w:before="0" w:after="0"/>
              <w:jc w:val="right"/>
              <w:rPr/>
            </w:pPr>
            <w:r>
              <w:rPr/>
              <w:t>183</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1,434</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0"/>
              <w:jc w:val="both"/>
              <w:rPr/>
            </w:pPr>
            <w:r>
              <w:rPr/>
              <w:t>Selling and marketing</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12,257</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shd w:fill="auto" w:val="clear"/>
            <w:vAlign w:val="bottom"/>
          </w:tcPr>
          <w:p>
            <w:pPr>
              <w:pStyle w:val="TableContents"/>
              <w:spacing w:before="0" w:after="283"/>
              <w:jc w:val="left"/>
              <w:rPr/>
            </w:pPr>
            <w:r>
              <w:rPr/>
              <w:t> </w:t>
            </w:r>
          </w:p>
        </w:tc>
        <w:tc>
          <w:tcPr>
            <w:tcW w:w="1899" w:type="dxa"/>
            <w:tcBorders/>
            <w:shd w:fill="auto" w:val="clear"/>
            <w:vAlign w:val="bottom"/>
          </w:tcPr>
          <w:p>
            <w:pPr>
              <w:pStyle w:val="TableContents"/>
              <w:spacing w:before="0" w:after="0"/>
              <w:jc w:val="right"/>
              <w:rPr/>
            </w:pPr>
            <w:r>
              <w:rPr/>
              <w:t>849</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13,106</w:t>
            </w:r>
          </w:p>
        </w:tc>
        <w:tc>
          <w:tcPr>
            <w:tcW w:w="233" w:type="dxa"/>
            <w:tcBorders/>
            <w:shd w:fill="auto" w:val="clear"/>
            <w:vAlign w:val="bottom"/>
          </w:tcPr>
          <w:p>
            <w:pPr>
              <w:pStyle w:val="TableContents"/>
              <w:spacing w:before="0" w:after="283"/>
              <w:jc w:val="left"/>
              <w:rPr/>
            </w:pPr>
            <w:r>
              <w:rPr/>
              <w:t> </w:t>
            </w:r>
          </w:p>
        </w:tc>
      </w:tr>
      <w:tr>
        <w:trPr/>
        <w:tc>
          <w:tcPr>
            <w:tcW w:w="3887" w:type="dxa"/>
            <w:tcBorders/>
            <w:shd w:fill="CCEEFF" w:val="clear"/>
            <w:vAlign w:val="bottom"/>
          </w:tcPr>
          <w:p>
            <w:pPr>
              <w:pStyle w:val="TableContents"/>
              <w:spacing w:before="0" w:after="0"/>
              <w:jc w:val="both"/>
              <w:rPr/>
            </w:pPr>
            <w:r>
              <w:rPr/>
              <w:t>Unallocated expenses</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9,712</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38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auto" w:val="clear"/>
            <w:tcMar>
              <w:bottom w:w="28" w:type="dxa"/>
            </w:tcMar>
            <w:vAlign w:val="bottom"/>
          </w:tcPr>
          <w:p>
            <w:pPr>
              <w:pStyle w:val="TableContents"/>
              <w:spacing w:before="0" w:after="0"/>
              <w:jc w:val="right"/>
              <w:rPr/>
            </w:pPr>
            <w:r>
              <w:rPr/>
              <w:t>13,508</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899" w:type="dxa"/>
            <w:tcBorders>
              <w:bottom w:val="single" w:sz="12" w:space="0" w:color="000000"/>
            </w:tcBorders>
            <w:shd w:fill="auto" w:val="clear"/>
            <w:tcMar>
              <w:bottom w:w="28" w:type="dxa"/>
            </w:tcMar>
            <w:vAlign w:val="bottom"/>
          </w:tcPr>
          <w:p>
            <w:pPr>
              <w:pStyle w:val="TableContents"/>
              <w:spacing w:before="0" w:after="0"/>
              <w:jc w:val="right"/>
              <w:rPr/>
            </w:pPr>
            <w:r>
              <w:rPr/>
              <w:t>1,032</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24,252</w:t>
            </w:r>
          </w:p>
        </w:tc>
        <w:tc>
          <w:tcPr>
            <w:tcW w:w="233" w:type="dxa"/>
            <w:tcBorders/>
            <w:shd w:fill="auto" w:val="clear"/>
            <w:vAlign w:val="bottom"/>
          </w:tcPr>
          <w:p>
            <w:pPr>
              <w:pStyle w:val="TableContents"/>
              <w:spacing w:before="0" w:after="283"/>
              <w:jc w:val="left"/>
              <w:rPr/>
            </w:pPr>
            <w:r>
              <w:rPr/>
              <w:t> </w:t>
            </w:r>
          </w:p>
        </w:tc>
      </w:tr>
      <w:tr>
        <w:trPr/>
        <w:tc>
          <w:tcPr>
            <w:tcW w:w="3887" w:type="dxa"/>
            <w:tcBorders/>
            <w:shd w:fill="CCEEFF" w:val="clear"/>
            <w:vAlign w:val="bottom"/>
          </w:tcPr>
          <w:p>
            <w:pPr>
              <w:pStyle w:val="TableContents"/>
              <w:spacing w:before="0" w:after="0"/>
              <w:jc w:val="both"/>
              <w:rPr/>
            </w:pPr>
            <w:r>
              <w:rPr/>
              <w:t>Income (loss) from operations</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0"/>
              <w:jc w:val="right"/>
              <w:rPr/>
            </w:pPr>
            <w:r>
              <w:rPr/>
              <w:t>2,602</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shd w:fill="CCEEFF" w:val="clear"/>
            <w:vAlign w:val="bottom"/>
          </w:tcPr>
          <w:p>
            <w:pPr>
              <w:pStyle w:val="TableContents"/>
              <w:spacing w:before="0" w:after="283"/>
              <w:jc w:val="left"/>
              <w:rPr/>
            </w:pPr>
            <w:r>
              <w:rPr/>
              <w:t> </w:t>
            </w:r>
          </w:p>
        </w:tc>
        <w:tc>
          <w:tcPr>
            <w:tcW w:w="1899" w:type="dxa"/>
            <w:tcBorders/>
            <w:shd w:fill="CCEEFF" w:val="clear"/>
            <w:vAlign w:val="bottom"/>
          </w:tcPr>
          <w:p>
            <w:pPr>
              <w:pStyle w:val="TableContents"/>
              <w:spacing w:before="0" w:after="0"/>
              <w:jc w:val="right"/>
              <w:rPr/>
            </w:pPr>
            <w:r>
              <w:rPr/>
              <w:t>2,708</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(4,402</w:t>
            </w:r>
          </w:p>
        </w:tc>
        <w:tc>
          <w:tcPr>
            <w:tcW w:w="233" w:type="dxa"/>
            <w:tcBorders/>
            <w:shd w:fill="CCEEFF" w:val="clear"/>
            <w:vAlign w:val="bottom"/>
          </w:tcPr>
          <w:p>
            <w:pPr>
              <w:pStyle w:val="TableContents"/>
              <w:spacing w:before="0" w:after="0"/>
              <w:jc w:val="left"/>
              <w:rPr/>
            </w:pPr>
            <w:r>
              <w:rPr/>
              <w:t>)</w:t>
            </w:r>
          </w:p>
        </w:tc>
      </w:tr>
      <w:tr>
        <w:trPr/>
        <w:tc>
          <w:tcPr>
            <w:tcW w:w="3887" w:type="dxa"/>
            <w:tcBorders/>
            <w:shd w:fill="auto" w:val="clear"/>
            <w:vAlign w:val="bottom"/>
          </w:tcPr>
          <w:p>
            <w:pPr>
              <w:pStyle w:val="TableContents"/>
              <w:spacing w:before="0" w:after="0"/>
              <w:jc w:val="both"/>
              <w:rPr/>
            </w:pPr>
            <w:r>
              <w:rPr/>
              <w:t>Interest expense</w:t>
            </w:r>
          </w:p>
        </w:tc>
        <w:tc>
          <w:tcPr>
            <w:tcW w:w="60" w:type="dxa"/>
            <w:tcBorders/>
            <w:shd w:fill="auto" w:val="clear"/>
            <w:vAlign w:val="bottom"/>
          </w:tcPr>
          <w:p>
            <w:pPr>
              <w:pStyle w:val="TableContents"/>
              <w:spacing w:before="0" w:after="283"/>
              <w:jc w:val="right"/>
              <w:rPr/>
            </w:pPr>
            <w:r>
              <w:rPr/>
              <w:t> </w:t>
            </w:r>
          </w:p>
        </w:tc>
        <w:tc>
          <w:tcPr>
            <w:tcW w:w="387" w:type="dxa"/>
            <w:tcBorders/>
            <w:shd w:fill="auto" w:val="clear"/>
            <w:vAlign w:val="bottom"/>
          </w:tcPr>
          <w:p>
            <w:pPr>
              <w:pStyle w:val="TableContents"/>
              <w:spacing w:before="0" w:after="283"/>
              <w:jc w:val="left"/>
              <w:rPr/>
            </w:pPr>
            <w:r>
              <w:rPr/>
              <w:t> </w:t>
            </w:r>
          </w:p>
        </w:tc>
        <w:tc>
          <w:tcPr>
            <w:tcW w:w="1895"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shd w:fill="auto" w:val="clear"/>
            <w:vAlign w:val="bottom"/>
          </w:tcPr>
          <w:p>
            <w:pPr>
              <w:pStyle w:val="TableContents"/>
              <w:spacing w:before="0" w:after="283"/>
              <w:jc w:val="left"/>
              <w:rPr/>
            </w:pPr>
            <w:r>
              <w:rPr/>
              <w:t> </w:t>
            </w:r>
          </w:p>
        </w:tc>
        <w:tc>
          <w:tcPr>
            <w:tcW w:w="1899"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pPr>
            <w:r>
              <w:rPr/>
              <w:t>(314</w:t>
            </w:r>
          </w:p>
        </w:tc>
        <w:tc>
          <w:tcPr>
            <w:tcW w:w="233" w:type="dxa"/>
            <w:tcBorders/>
            <w:shd w:fill="auto" w:val="clear"/>
            <w:vAlign w:val="bottom"/>
          </w:tcPr>
          <w:p>
            <w:pPr>
              <w:pStyle w:val="TableContents"/>
              <w:spacing w:before="0" w:after="0"/>
              <w:jc w:val="left"/>
              <w:rPr/>
            </w:pPr>
            <w:r>
              <w:rPr/>
              <w:t>)</w:t>
            </w:r>
          </w:p>
        </w:tc>
      </w:tr>
      <w:tr>
        <w:trPr/>
        <w:tc>
          <w:tcPr>
            <w:tcW w:w="3887" w:type="dxa"/>
            <w:tcBorders/>
            <w:shd w:fill="CCEEFF" w:val="clear"/>
            <w:vAlign w:val="bottom"/>
          </w:tcPr>
          <w:p>
            <w:pPr>
              <w:pStyle w:val="TableContents"/>
              <w:spacing w:before="0" w:after="0"/>
              <w:jc w:val="both"/>
              <w:rPr/>
            </w:pPr>
            <w:r>
              <w:rPr/>
              <w:t>Interest income</w:t>
            </w:r>
          </w:p>
        </w:tc>
        <w:tc>
          <w:tcPr>
            <w:tcW w:w="60" w:type="dxa"/>
            <w:tcBorders/>
            <w:shd w:fill="CCEEFF" w:val="clear"/>
            <w:vAlign w:val="bottom"/>
          </w:tcPr>
          <w:p>
            <w:pPr>
              <w:pStyle w:val="TableContents"/>
              <w:spacing w:before="0" w:after="283"/>
              <w:jc w:val="right"/>
              <w:rPr/>
            </w:pPr>
            <w:r>
              <w:rPr/>
              <w:t> </w:t>
            </w:r>
          </w:p>
        </w:tc>
        <w:tc>
          <w:tcPr>
            <w:tcW w:w="387" w:type="dxa"/>
            <w:tcBorders/>
            <w:shd w:fill="CCEEFF" w:val="clear"/>
            <w:vAlign w:val="bottom"/>
          </w:tcPr>
          <w:p>
            <w:pPr>
              <w:pStyle w:val="TableContents"/>
              <w:spacing w:before="0" w:after="283"/>
              <w:jc w:val="left"/>
              <w:rPr/>
            </w:pPr>
            <w:r>
              <w:rPr/>
              <w:t> </w:t>
            </w:r>
          </w:p>
        </w:tc>
        <w:tc>
          <w:tcPr>
            <w:tcW w:w="1895"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shd w:fill="CCEEFF" w:val="clear"/>
            <w:vAlign w:val="bottom"/>
          </w:tcPr>
          <w:p>
            <w:pPr>
              <w:pStyle w:val="TableContents"/>
              <w:spacing w:before="0" w:after="283"/>
              <w:jc w:val="left"/>
              <w:rPr/>
            </w:pPr>
            <w:r>
              <w:rPr/>
              <w:t> </w:t>
            </w:r>
          </w:p>
        </w:tc>
        <w:tc>
          <w:tcPr>
            <w:tcW w:w="1899"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0"/>
              <w:jc w:val="right"/>
              <w:rPr/>
            </w:pPr>
            <w:r>
              <w:rPr/>
              <w:t>15</w:t>
            </w:r>
          </w:p>
        </w:tc>
        <w:tc>
          <w:tcPr>
            <w:tcW w:w="233" w:type="dxa"/>
            <w:tcBorders/>
            <w:shd w:fill="CCEEFF" w:val="clear"/>
            <w:vAlign w:val="bottom"/>
          </w:tcPr>
          <w:p>
            <w:pPr>
              <w:pStyle w:val="TableContents"/>
              <w:spacing w:before="0" w:after="283"/>
              <w:rPr>
                <w:sz w:val="4"/>
                <w:szCs w:val="4"/>
              </w:rPr>
            </w:pPr>
            <w:r>
              <w:rPr>
                <w:sz w:val="4"/>
                <w:szCs w:val="4"/>
              </w:rPr>
            </w:r>
          </w:p>
        </w:tc>
      </w:tr>
      <w:tr>
        <w:trPr/>
        <w:tc>
          <w:tcPr>
            <w:tcW w:w="3887" w:type="dxa"/>
            <w:tcBorders/>
            <w:shd w:fill="CCEEFF" w:val="clear"/>
            <w:vAlign w:val="bottom"/>
          </w:tcPr>
          <w:p>
            <w:pPr>
              <w:pStyle w:val="TableContents"/>
              <w:spacing w:before="0" w:after="283"/>
              <w:rPr/>
            </w:pPr>
            <w:r>
              <w:rPr/>
              <w:t>Gain on debt extinguishment</w:t>
            </w:r>
          </w:p>
        </w:tc>
        <w:tc>
          <w:tcPr>
            <w:tcW w:w="60" w:type="dxa"/>
            <w:tcBorders/>
            <w:shd w:fill="CCEEFF" w:val="clear"/>
            <w:vAlign w:val="bottom"/>
          </w:tcPr>
          <w:p>
            <w:pPr>
              <w:pStyle w:val="TableContents"/>
              <w:spacing w:before="0" w:after="283"/>
              <w:jc w:val="right"/>
              <w:rPr/>
            </w:pPr>
            <w:r>
              <w:rPr/>
              <w:t> </w:t>
            </w:r>
          </w:p>
        </w:tc>
        <w:tc>
          <w:tcPr>
            <w:tcW w:w="38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5"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7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99"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283"/>
              <w:jc w:val="right"/>
              <w:rPr/>
            </w:pPr>
            <w:r>
              <w:rPr/>
              <w:t>2,029</w:t>
            </w:r>
          </w:p>
        </w:tc>
        <w:tc>
          <w:tcPr>
            <w:tcW w:w="233" w:type="dxa"/>
            <w:tcBorders/>
            <w:shd w:fill="CCEEFF" w:val="clear"/>
            <w:vAlign w:val="bottom"/>
          </w:tcPr>
          <w:p>
            <w:pPr>
              <w:pStyle w:val="TableContents"/>
              <w:spacing w:before="0" w:after="283"/>
              <w:jc w:val="left"/>
              <w:rPr/>
            </w:pPr>
            <w:r>
              <w:rPr/>
              <w:t> </w:t>
            </w:r>
          </w:p>
        </w:tc>
      </w:tr>
      <w:tr>
        <w:trPr/>
        <w:tc>
          <w:tcPr>
            <w:tcW w:w="3887" w:type="dxa"/>
            <w:tcBorders/>
            <w:shd w:fill="auto" w:val="clear"/>
            <w:vAlign w:val="bottom"/>
          </w:tcPr>
          <w:p>
            <w:pPr>
              <w:pStyle w:val="TableContents"/>
              <w:spacing w:before="0" w:after="0"/>
              <w:jc w:val="both"/>
              <w:rPr/>
            </w:pPr>
            <w:r>
              <w:rPr/>
              <w:t>Income (loss) before income tax expense</w:t>
            </w:r>
          </w:p>
        </w:tc>
        <w:tc>
          <w:tcPr>
            <w:tcW w:w="60" w:type="dxa"/>
            <w:tcBorders/>
            <w:shd w:fill="auto" w:val="clear"/>
            <w:vAlign w:val="bottom"/>
          </w:tcPr>
          <w:p>
            <w:pPr>
              <w:pStyle w:val="TableContents"/>
              <w:spacing w:before="0" w:after="283"/>
              <w:jc w:val="right"/>
              <w:rPr/>
            </w:pPr>
            <w:r>
              <w:rPr/>
              <w:t> </w:t>
            </w:r>
          </w:p>
        </w:tc>
        <w:tc>
          <w:tcPr>
            <w:tcW w:w="387"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895" w:type="dxa"/>
            <w:tcBorders>
              <w:bottom w:val="double" w:sz="8" w:space="0" w:color="000000"/>
            </w:tcBorders>
            <w:shd w:fill="auto" w:val="clear"/>
            <w:tcMar>
              <w:bottom w:w="28" w:type="dxa"/>
            </w:tcMar>
            <w:vAlign w:val="bottom"/>
          </w:tcPr>
          <w:p>
            <w:pPr>
              <w:pStyle w:val="TableContents"/>
              <w:spacing w:before="0" w:after="0"/>
              <w:jc w:val="right"/>
              <w:rPr/>
            </w:pPr>
            <w:r>
              <w:rPr/>
              <w:t>2,602</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7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899" w:type="dxa"/>
            <w:tcBorders>
              <w:bottom w:val="double" w:sz="8" w:space="0" w:color="000000"/>
            </w:tcBorders>
            <w:shd w:fill="auto" w:val="clear"/>
            <w:tcMar>
              <w:bottom w:w="28" w:type="dxa"/>
            </w:tcMar>
            <w:vAlign w:val="bottom"/>
          </w:tcPr>
          <w:p>
            <w:pPr>
              <w:pStyle w:val="TableContents"/>
              <w:spacing w:before="0" w:after="0"/>
              <w:jc w:val="right"/>
              <w:rPr/>
            </w:pPr>
            <w:r>
              <w:rPr/>
              <w:t>2,708</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(2,672</w:t>
            </w:r>
          </w:p>
        </w:tc>
        <w:tc>
          <w:tcPr>
            <w:tcW w:w="233" w:type="dxa"/>
            <w:tcBorders/>
            <w:shd w:fill="auto" w:val="clear"/>
            <w:vAlign w:val="bottom"/>
          </w:tcPr>
          <w:p>
            <w:pPr>
              <w:pStyle w:val="TableContents"/>
              <w:spacing w:before="0" w:after="0"/>
              <w:jc w:val="left"/>
              <w:rPr/>
            </w:pPr>
            <w:r>
              <w:rPr/>
              <w:t>)</w:t>
            </w:r>
          </w:p>
        </w:tc>
      </w:tr>
    </w:tbl>
    <w:p>
      <w:pPr>
        <w:pStyle w:val="TextBody"/>
        <w:spacing w:before="0" w:after="0"/>
        <w:jc w:val="left"/>
        <w:rPr/>
      </w:pPr>
      <w:r>
        <w:rPr/>
      </w:r>
    </w:p>
    <w:p>
      <w:pPr>
        <w:pStyle w:val="TextBody"/>
        <w:spacing w:before="0" w:after="0"/>
        <w:jc w:val="left"/>
        <w:rPr/>
      </w:pPr>
      <w:r>
        <w:rPr/>
      </w:r>
    </w:p>
    <w:p>
      <w:pPr>
        <w:pStyle w:val="TextBody"/>
        <w:spacing w:before="0" w:after="0"/>
        <w:ind w:left="0" w:right="0" w:firstLine="720"/>
        <w:jc w:val="both"/>
        <w:rPr>
          <w:rFonts w:ascii="Times New Roman;Times;serif" w:hAnsi="Times New Roman;Times;serif"/>
          <w:color w:val="000000"/>
          <w:sz w:val="20"/>
          <w:highlight w:val="white"/>
        </w:rPr>
      </w:pPr>
      <w:r>
        <w:rPr>
          <w:rFonts w:ascii="Times New Roman;Times;serif" w:hAnsi="Times New Roman;Times;serif"/>
          <w:color w:val="000000"/>
          <w:sz w:val="20"/>
          <w:highlight w:val="white"/>
        </w:rPr>
        <w:t>For the years ended December 31, 2022 and 2021, depreciation and amortization by reportable segment were as follows (in thousands):</w:t>
      </w:r>
    </w:p>
    <w:p>
      <w:pPr>
        <w:pStyle w:val="TextBody"/>
        <w:spacing w:before="0" w:after="0"/>
        <w:jc w:val="left"/>
        <w:rPr/>
      </w:pPr>
      <w:r>
        <w:rPr/>
      </w:r>
    </w:p>
    <w:tbl>
      <w:tblPr>
        <w:tblW w:w="4420" w:type="dxa"/>
        <w:jc w:val="left"/>
        <w:tblInd w:w="0" w:type="dxa"/>
        <w:tblCellMar>
          <w:top w:w="0" w:type="dxa"/>
          <w:left w:w="0" w:type="dxa"/>
          <w:bottom w:w="0" w:type="dxa"/>
          <w:right w:w="0" w:type="dxa"/>
        </w:tblCellMar>
      </w:tblPr>
      <w:tblGrid>
        <w:gridCol w:w="2945"/>
        <w:gridCol w:w="60"/>
        <w:gridCol w:w="125"/>
        <w:gridCol w:w="485"/>
        <w:gridCol w:w="60"/>
        <w:gridCol w:w="60"/>
        <w:gridCol w:w="125"/>
        <w:gridCol w:w="485"/>
        <w:gridCol w:w="75"/>
      </w:tblGrid>
      <w:tr>
        <w:trPr/>
        <w:tc>
          <w:tcPr>
            <w:tcW w:w="2945"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134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 xml:space="preserve">Year Ended </w:t>
            </w:r>
          </w:p>
          <w:p>
            <w:pPr>
              <w:pStyle w:val="TableContents"/>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shd w:fill="auto"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jc w:val="left"/>
              <w:rPr/>
            </w:pPr>
            <w:r>
              <w:rPr/>
              <w:t> </w:t>
            </w:r>
          </w:p>
        </w:tc>
        <w:tc>
          <w:tcPr>
            <w:tcW w:w="60" w:type="dxa"/>
            <w:tcBorders/>
            <w:shd w:fill="auto" w:val="clear"/>
            <w:vAlign w:val="bottom"/>
          </w:tcPr>
          <w:p>
            <w:pPr>
              <w:pStyle w:val="TableContents"/>
              <w:spacing w:before="0" w:after="283"/>
              <w:rPr/>
            </w:pPr>
            <w:r>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2021</w:t>
            </w:r>
          </w:p>
        </w:tc>
        <w:tc>
          <w:tcPr>
            <w:tcW w:w="7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Dermatology recurring procedures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4,421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3,334</w:t>
            </w:r>
          </w:p>
        </w:tc>
        <w:tc>
          <w:tcPr>
            <w:tcW w:w="7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Dermatology procedures equipment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857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384</w:t>
            </w:r>
          </w:p>
        </w:tc>
        <w:tc>
          <w:tcPr>
            <w:tcW w:w="7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Unallocated expenses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18</w:t>
            </w:r>
          </w:p>
        </w:tc>
        <w:tc>
          <w:tcPr>
            <w:tcW w:w="7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jc w:val="left"/>
              <w:rPr/>
            </w:pPr>
            <w:r>
              <w:rPr/>
              <w:t xml:space="preserve">         </w:t>
            </w:r>
            <w:r>
              <w:rPr>
                <w:rFonts w:ascii="Times New Roman;Times;serif" w:hAnsi="Times New Roman;Times;serif"/>
                <w:sz w:val="20"/>
              </w:rPr>
              <w:t>Consolidated total</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5,293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sz w:val="20"/>
              </w:rPr>
            </w:pPr>
            <w:r>
              <w:rPr>
                <w:rFonts w:ascii="Times New Roman;Times;serif" w:hAnsi="Times New Roman;Times;serif"/>
                <w:sz w:val="20"/>
              </w:rPr>
              <w:t>3,736</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The following tables present the Company’s revenue disaggregated by geographical region for the years ended December 31, 2022 and 2021 (in thousands). Domestic refers to revenue from customers based in the United States, and foreign revenue is derived from the Company’s distributors primarily in Asia.</w:t>
      </w:r>
    </w:p>
    <w:p>
      <w:pPr>
        <w:pStyle w:val="TextBody"/>
        <w:spacing w:before="0" w:after="0"/>
        <w:jc w:val="left"/>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2740"/>
        <w:gridCol w:w="60"/>
        <w:gridCol w:w="527"/>
        <w:gridCol w:w="2573"/>
        <w:gridCol w:w="60"/>
        <w:gridCol w:w="60"/>
        <w:gridCol w:w="538"/>
        <w:gridCol w:w="2630"/>
        <w:gridCol w:w="60"/>
        <w:gridCol w:w="60"/>
        <w:gridCol w:w="140"/>
        <w:gridCol w:w="680"/>
        <w:gridCol w:w="77"/>
      </w:tblGrid>
      <w:tr>
        <w:trPr/>
        <w:tc>
          <w:tcPr>
            <w:tcW w:w="2740" w:type="dxa"/>
            <w:tcBorders/>
            <w:shd w:fill="auto" w:val="clear"/>
            <w:vAlign w:val="bottom"/>
          </w:tcPr>
          <w:p>
            <w:pPr>
              <w:pStyle w:val="TableContents"/>
              <w:spacing w:before="0" w:after="0"/>
              <w:rPr>
                <w:b/>
              </w:rPr>
            </w:pPr>
            <w:r>
              <w:rPr>
                <w:b/>
              </w:rPr>
              <w:t>Year Ended December 31, 2022</w:t>
            </w:r>
          </w:p>
        </w:tc>
        <w:tc>
          <w:tcPr>
            <w:tcW w:w="60" w:type="dxa"/>
            <w:tcBorders/>
            <w:shd w:fill="auto" w:val="clear"/>
            <w:vAlign w:val="bottom"/>
          </w:tcPr>
          <w:p>
            <w:pPr>
              <w:pStyle w:val="TableContents"/>
              <w:spacing w:before="0" w:after="283"/>
              <w:jc w:val="center"/>
              <w:rPr/>
            </w:pPr>
            <w:r>
              <w:rPr/>
              <w:t> </w:t>
            </w:r>
          </w:p>
        </w:tc>
        <w:tc>
          <w:tcPr>
            <w:tcW w:w="310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Dermatology Recurring Procedures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16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 Procedures Equipment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0"/>
              <w:rPr/>
            </w:pPr>
            <w:r>
              <w:rPr/>
              <w:t>Domestic</w:t>
            </w:r>
          </w:p>
        </w:tc>
        <w:tc>
          <w:tcPr>
            <w:tcW w:w="60" w:type="dxa"/>
            <w:tcBorders/>
            <w:shd w:fill="CCEEFF" w:val="clear"/>
            <w:vAlign w:val="bottom"/>
          </w:tcPr>
          <w:p>
            <w:pPr>
              <w:pStyle w:val="TableContents"/>
              <w:spacing w:before="0" w:after="283"/>
              <w:jc w:val="right"/>
              <w:rPr/>
            </w:pPr>
            <w:r>
              <w:rPr/>
              <w:t> </w:t>
            </w:r>
          </w:p>
        </w:tc>
        <w:tc>
          <w:tcPr>
            <w:tcW w:w="527" w:type="dxa"/>
            <w:tcBorders/>
            <w:shd w:fill="CCEEFF" w:val="clear"/>
            <w:vAlign w:val="bottom"/>
          </w:tcPr>
          <w:p>
            <w:pPr>
              <w:pStyle w:val="TableContents"/>
              <w:spacing w:before="0" w:after="0"/>
              <w:jc w:val="left"/>
              <w:rPr/>
            </w:pPr>
            <w:r>
              <w:rPr/>
              <w:t>$</w:t>
            </w:r>
          </w:p>
        </w:tc>
        <w:tc>
          <w:tcPr>
            <w:tcW w:w="2573" w:type="dxa"/>
            <w:tcBorders/>
            <w:shd w:fill="CCEEFF" w:val="clear"/>
            <w:vAlign w:val="bottom"/>
          </w:tcPr>
          <w:p>
            <w:pPr>
              <w:pStyle w:val="TableContents"/>
              <w:spacing w:before="0" w:after="0"/>
              <w:jc w:val="right"/>
              <w:rPr/>
            </w:pPr>
            <w:r>
              <w:rPr/>
              <w:t>21,585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538" w:type="dxa"/>
            <w:tcBorders/>
            <w:shd w:fill="CCEEFF" w:val="clear"/>
            <w:vAlign w:val="bottom"/>
          </w:tcPr>
          <w:p>
            <w:pPr>
              <w:pStyle w:val="TableContents"/>
              <w:spacing w:before="0" w:after="0"/>
              <w:jc w:val="left"/>
              <w:rPr/>
            </w:pPr>
            <w:r>
              <w:rPr/>
              <w:t>$</w:t>
            </w:r>
          </w:p>
        </w:tc>
        <w:tc>
          <w:tcPr>
            <w:tcW w:w="2630" w:type="dxa"/>
            <w:tcBorders/>
            <w:shd w:fill="CCEEFF" w:val="clear"/>
            <w:vAlign w:val="bottom"/>
          </w:tcPr>
          <w:p>
            <w:pPr>
              <w:pStyle w:val="TableContents"/>
              <w:spacing w:before="0" w:after="0"/>
              <w:jc w:val="right"/>
              <w:rPr/>
            </w:pPr>
            <w:r>
              <w:rPr/>
              <w:t>2,396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80" w:type="dxa"/>
            <w:tcBorders/>
            <w:shd w:fill="CCEEFF" w:val="clear"/>
            <w:vAlign w:val="bottom"/>
          </w:tcPr>
          <w:p>
            <w:pPr>
              <w:pStyle w:val="TableContents"/>
              <w:spacing w:before="0" w:after="0"/>
              <w:jc w:val="right"/>
              <w:rPr/>
            </w:pPr>
            <w:r>
              <w:rPr/>
              <w:t>23,981</w:t>
            </w:r>
          </w:p>
        </w:tc>
        <w:tc>
          <w:tcPr>
            <w:tcW w:w="77" w:type="dxa"/>
            <w:tcBorders/>
            <w:shd w:fill="CCEEFF" w:val="clear"/>
            <w:vAlign w:val="bottom"/>
          </w:tcPr>
          <w:p>
            <w:pPr>
              <w:pStyle w:val="TableContents"/>
              <w:spacing w:before="0" w:after="283"/>
              <w:jc w:val="left"/>
              <w:rPr/>
            </w:pPr>
            <w:r>
              <w:rPr/>
              <w:t> </w:t>
            </w:r>
          </w:p>
        </w:tc>
      </w:tr>
      <w:tr>
        <w:trPr/>
        <w:tc>
          <w:tcPr>
            <w:tcW w:w="2740" w:type="dxa"/>
            <w:tcBorders/>
            <w:shd w:fill="auto" w:val="clear"/>
            <w:vAlign w:val="bottom"/>
          </w:tcPr>
          <w:p>
            <w:pPr>
              <w:pStyle w:val="TableContents"/>
              <w:spacing w:before="0" w:after="283"/>
              <w:rPr/>
            </w:pPr>
            <w:r>
              <w:rPr/>
              <w:t>China</w:t>
            </w:r>
          </w:p>
        </w:tc>
        <w:tc>
          <w:tcPr>
            <w:tcW w:w="60" w:type="dxa"/>
            <w:tcBorders/>
            <w:shd w:fill="auto" w:val="clear"/>
            <w:vAlign w:val="bottom"/>
          </w:tcPr>
          <w:p>
            <w:pPr>
              <w:pStyle w:val="TableContents"/>
              <w:spacing w:before="0" w:after="283"/>
              <w:jc w:val="right"/>
              <w:rPr/>
            </w:pPr>
            <w:r>
              <w:rPr/>
              <w:t> </w:t>
            </w:r>
          </w:p>
        </w:tc>
        <w:tc>
          <w:tcPr>
            <w:tcW w:w="527" w:type="dxa"/>
            <w:tcBorders/>
            <w:shd w:fill="auto" w:val="clear"/>
            <w:vAlign w:val="bottom"/>
          </w:tcPr>
          <w:p>
            <w:pPr>
              <w:pStyle w:val="TableContents"/>
              <w:spacing w:before="0" w:after="283"/>
              <w:jc w:val="left"/>
              <w:rPr/>
            </w:pPr>
            <w:r>
              <w:rPr/>
              <w:t> </w:t>
            </w:r>
          </w:p>
        </w:tc>
        <w:tc>
          <w:tcPr>
            <w:tcW w:w="2573" w:type="dxa"/>
            <w:tcBorders/>
            <w:shd w:fill="auto" w:val="clear"/>
            <w:vAlign w:val="bottom"/>
          </w:tcPr>
          <w:p>
            <w:pPr>
              <w:pStyle w:val="TableContents"/>
              <w:spacing w:before="0" w:after="283"/>
              <w:jc w:val="right"/>
              <w:rPr/>
            </w:pPr>
            <w:r>
              <w:rPr/>
              <w:t>195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538" w:type="dxa"/>
            <w:tcBorders/>
            <w:shd w:fill="auto" w:val="clear"/>
            <w:vAlign w:val="bottom"/>
          </w:tcPr>
          <w:p>
            <w:pPr>
              <w:pStyle w:val="TableContents"/>
              <w:spacing w:before="0" w:after="283"/>
              <w:jc w:val="left"/>
              <w:rPr/>
            </w:pPr>
            <w:r>
              <w:rPr/>
              <w:t> </w:t>
            </w:r>
          </w:p>
        </w:tc>
        <w:tc>
          <w:tcPr>
            <w:tcW w:w="2630" w:type="dxa"/>
            <w:tcBorders/>
            <w:shd w:fill="auto" w:val="clear"/>
            <w:vAlign w:val="bottom"/>
          </w:tcPr>
          <w:p>
            <w:pPr>
              <w:pStyle w:val="TableContents"/>
              <w:spacing w:before="0" w:after="283"/>
              <w:jc w:val="right"/>
              <w:rPr/>
            </w:pPr>
            <w:r>
              <w:rPr/>
              <w:t>4,556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4,751</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283"/>
              <w:rPr/>
            </w:pPr>
            <w:r>
              <w:rPr/>
              <w:t>Korea</w:t>
            </w:r>
          </w:p>
        </w:tc>
        <w:tc>
          <w:tcPr>
            <w:tcW w:w="60" w:type="dxa"/>
            <w:tcBorders/>
            <w:shd w:fill="CCEEFF" w:val="clear"/>
            <w:vAlign w:val="bottom"/>
          </w:tcPr>
          <w:p>
            <w:pPr>
              <w:pStyle w:val="TableContents"/>
              <w:spacing w:before="0" w:after="283"/>
              <w:jc w:val="right"/>
              <w:rPr/>
            </w:pPr>
            <w:r>
              <w:rPr/>
              <w:t> </w:t>
            </w:r>
          </w:p>
        </w:tc>
        <w:tc>
          <w:tcPr>
            <w:tcW w:w="527" w:type="dxa"/>
            <w:tcBorders/>
            <w:shd w:fill="CCEEFF" w:val="clear"/>
            <w:vAlign w:val="bottom"/>
          </w:tcPr>
          <w:p>
            <w:pPr>
              <w:pStyle w:val="TableContents"/>
              <w:spacing w:before="0" w:after="283"/>
              <w:jc w:val="left"/>
              <w:rPr/>
            </w:pPr>
            <w:r>
              <w:rPr/>
              <w:t> </w:t>
            </w:r>
          </w:p>
        </w:tc>
        <w:tc>
          <w:tcPr>
            <w:tcW w:w="2573" w:type="dxa"/>
            <w:tcBorders/>
            <w:shd w:fill="CCEEFF" w:val="clear"/>
            <w:vAlign w:val="bottom"/>
          </w:tcPr>
          <w:p>
            <w:pPr>
              <w:pStyle w:val="TableContents"/>
              <w:spacing w:before="0" w:after="283"/>
              <w:jc w:val="right"/>
              <w:rPr/>
            </w:pPr>
            <w:r>
              <w:rPr/>
              <w:t>888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538" w:type="dxa"/>
            <w:tcBorders/>
            <w:shd w:fill="CCEEFF" w:val="clear"/>
            <w:vAlign w:val="bottom"/>
          </w:tcPr>
          <w:p>
            <w:pPr>
              <w:pStyle w:val="TableContents"/>
              <w:spacing w:before="0" w:after="283"/>
              <w:jc w:val="left"/>
              <w:rPr/>
            </w:pPr>
            <w:r>
              <w:rPr/>
              <w:t> </w:t>
            </w:r>
          </w:p>
        </w:tc>
        <w:tc>
          <w:tcPr>
            <w:tcW w:w="2630" w:type="dxa"/>
            <w:tcBorders/>
            <w:shd w:fill="CCEEFF" w:val="clear"/>
            <w:vAlign w:val="bottom"/>
          </w:tcPr>
          <w:p>
            <w:pPr>
              <w:pStyle w:val="TableContents"/>
              <w:spacing w:before="0" w:after="283"/>
              <w:jc w:val="right"/>
              <w:rPr/>
            </w:pPr>
            <w:r>
              <w:rPr/>
              <w:t>2,828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3,716</w:t>
            </w:r>
          </w:p>
        </w:tc>
        <w:tc>
          <w:tcPr>
            <w:tcW w:w="77" w:type="dxa"/>
            <w:tcBorders/>
            <w:shd w:fill="CCEEFF" w:val="clear"/>
            <w:vAlign w:val="bottom"/>
          </w:tcPr>
          <w:p>
            <w:pPr>
              <w:pStyle w:val="TableContents"/>
              <w:spacing w:before="0" w:after="283"/>
              <w:jc w:val="left"/>
              <w:rPr/>
            </w:pPr>
            <w:r>
              <w:rPr/>
              <w:t> </w:t>
            </w:r>
          </w:p>
        </w:tc>
      </w:tr>
      <w:tr>
        <w:trPr/>
        <w:tc>
          <w:tcPr>
            <w:tcW w:w="2740" w:type="dxa"/>
            <w:tcBorders/>
            <w:shd w:fill="auto" w:val="clear"/>
            <w:vAlign w:val="bottom"/>
          </w:tcPr>
          <w:p>
            <w:pPr>
              <w:pStyle w:val="TableContents"/>
              <w:spacing w:before="0" w:after="0"/>
              <w:rPr/>
            </w:pPr>
            <w:r>
              <w:rPr/>
              <w:t>Other foreign</w:t>
            </w:r>
          </w:p>
        </w:tc>
        <w:tc>
          <w:tcPr>
            <w:tcW w:w="60" w:type="dxa"/>
            <w:tcBorders/>
            <w:shd w:fill="auto" w:val="clear"/>
            <w:vAlign w:val="bottom"/>
          </w:tcPr>
          <w:p>
            <w:pPr>
              <w:pStyle w:val="TableContents"/>
              <w:spacing w:before="0" w:after="283"/>
              <w:jc w:val="right"/>
              <w:rPr/>
            </w:pPr>
            <w:r>
              <w:rPr/>
              <w:t> </w:t>
            </w:r>
          </w:p>
        </w:tc>
        <w:tc>
          <w:tcPr>
            <w:tcW w:w="5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573" w:type="dxa"/>
            <w:tcBorders>
              <w:bottom w:val="single" w:sz="12" w:space="0" w:color="000000"/>
            </w:tcBorders>
            <w:shd w:fill="auto" w:val="clear"/>
            <w:tcMar>
              <w:bottom w:w="28" w:type="dxa"/>
            </w:tcMar>
            <w:vAlign w:val="bottom"/>
          </w:tcPr>
          <w:p>
            <w:pPr>
              <w:pStyle w:val="TableContents"/>
              <w:spacing w:before="0" w:after="0"/>
              <w:jc w:val="right"/>
              <w:rPr/>
            </w:pPr>
            <w:r>
              <w:rPr/>
              <w:t>357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53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630" w:type="dxa"/>
            <w:tcBorders>
              <w:bottom w:val="single" w:sz="12" w:space="0" w:color="000000"/>
            </w:tcBorders>
            <w:shd w:fill="auto" w:val="clear"/>
            <w:tcMar>
              <w:bottom w:w="28" w:type="dxa"/>
            </w:tcMar>
            <w:vAlign w:val="bottom"/>
          </w:tcPr>
          <w:p>
            <w:pPr>
              <w:pStyle w:val="TableContents"/>
              <w:spacing w:before="0" w:after="0"/>
              <w:jc w:val="right"/>
              <w:rPr/>
            </w:pPr>
            <w:r>
              <w:rPr/>
              <w:t>3,356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3,713</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0"/>
              <w:rPr/>
            </w:pPr>
            <w:r>
              <w:rPr/>
              <w:t>Total</w:t>
            </w:r>
          </w:p>
        </w:tc>
        <w:tc>
          <w:tcPr>
            <w:tcW w:w="60" w:type="dxa"/>
            <w:tcBorders/>
            <w:shd w:fill="CCEEFF" w:val="clear"/>
            <w:vAlign w:val="bottom"/>
          </w:tcPr>
          <w:p>
            <w:pPr>
              <w:pStyle w:val="TableContents"/>
              <w:spacing w:before="0" w:after="283"/>
              <w:jc w:val="right"/>
              <w:rPr/>
            </w:pPr>
            <w:r>
              <w:rPr/>
              <w:t> </w:t>
            </w:r>
          </w:p>
        </w:tc>
        <w:tc>
          <w:tcPr>
            <w:tcW w:w="52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573" w:type="dxa"/>
            <w:tcBorders>
              <w:bottom w:val="double" w:sz="8" w:space="0" w:color="000000"/>
            </w:tcBorders>
            <w:shd w:fill="CCEEFF" w:val="clear"/>
            <w:tcMar>
              <w:bottom w:w="28" w:type="dxa"/>
            </w:tcMar>
            <w:vAlign w:val="bottom"/>
          </w:tcPr>
          <w:p>
            <w:pPr>
              <w:pStyle w:val="TableContents"/>
              <w:spacing w:before="0" w:after="0"/>
              <w:jc w:val="right"/>
              <w:rPr/>
            </w:pPr>
            <w:r>
              <w:rPr/>
              <w:t>23,025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538"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630" w:type="dxa"/>
            <w:tcBorders>
              <w:bottom w:val="double" w:sz="8" w:space="0" w:color="000000"/>
            </w:tcBorders>
            <w:shd w:fill="CCEEFF" w:val="clear"/>
            <w:tcMar>
              <w:bottom w:w="28" w:type="dxa"/>
            </w:tcMar>
            <w:vAlign w:val="bottom"/>
          </w:tcPr>
          <w:p>
            <w:pPr>
              <w:pStyle w:val="TableContents"/>
              <w:spacing w:before="0" w:after="0"/>
              <w:jc w:val="right"/>
              <w:rPr/>
            </w:pPr>
            <w:r>
              <w:rPr/>
              <w:t>13,136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36,161</w:t>
            </w:r>
          </w:p>
        </w:tc>
        <w:tc>
          <w:tcPr>
            <w:tcW w:w="77"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10205" w:type="dxa"/>
        <w:jc w:val="left"/>
        <w:tblInd w:w="0" w:type="dxa"/>
        <w:tblCellMar>
          <w:top w:w="0" w:type="dxa"/>
          <w:left w:w="0" w:type="dxa"/>
          <w:bottom w:w="0" w:type="dxa"/>
          <w:right w:w="0" w:type="dxa"/>
        </w:tblCellMar>
      </w:tblPr>
      <w:tblGrid>
        <w:gridCol w:w="2740"/>
        <w:gridCol w:w="60"/>
        <w:gridCol w:w="527"/>
        <w:gridCol w:w="2573"/>
        <w:gridCol w:w="60"/>
        <w:gridCol w:w="60"/>
        <w:gridCol w:w="633"/>
        <w:gridCol w:w="2535"/>
        <w:gridCol w:w="60"/>
        <w:gridCol w:w="60"/>
        <w:gridCol w:w="140"/>
        <w:gridCol w:w="680"/>
        <w:gridCol w:w="77"/>
      </w:tblGrid>
      <w:tr>
        <w:trPr/>
        <w:tc>
          <w:tcPr>
            <w:tcW w:w="2740" w:type="dxa"/>
            <w:tcBorders/>
            <w:shd w:fill="auto" w:val="clear"/>
            <w:vAlign w:val="bottom"/>
          </w:tcPr>
          <w:p>
            <w:pPr>
              <w:pStyle w:val="TableContents"/>
              <w:spacing w:before="0" w:after="0"/>
              <w:rPr>
                <w:b/>
              </w:rPr>
            </w:pPr>
            <w:r>
              <w:rPr>
                <w:b/>
              </w:rPr>
              <w:t>Year Ended December 31, 2021</w:t>
            </w:r>
          </w:p>
        </w:tc>
        <w:tc>
          <w:tcPr>
            <w:tcW w:w="60" w:type="dxa"/>
            <w:tcBorders/>
            <w:shd w:fill="auto" w:val="clear"/>
            <w:vAlign w:val="bottom"/>
          </w:tcPr>
          <w:p>
            <w:pPr>
              <w:pStyle w:val="TableContents"/>
              <w:spacing w:before="0" w:after="283"/>
              <w:jc w:val="center"/>
              <w:rPr/>
            </w:pPr>
            <w:r>
              <w:rPr/>
              <w:t> </w:t>
            </w:r>
          </w:p>
        </w:tc>
        <w:tc>
          <w:tcPr>
            <w:tcW w:w="3100" w:type="dxa"/>
            <w:gridSpan w:val="2"/>
            <w:tcBorders>
              <w:bottom w:val="single" w:sz="12" w:space="0" w:color="000000"/>
            </w:tcBorders>
            <w:shd w:fill="auto" w:val="clear"/>
            <w:tcMar>
              <w:bottom w:w="28" w:type="dxa"/>
            </w:tcMar>
            <w:vAlign w:val="bottom"/>
          </w:tcPr>
          <w:p>
            <w:pPr>
              <w:pStyle w:val="TableContents"/>
              <w:spacing w:before="0" w:after="283"/>
              <w:jc w:val="center"/>
              <w:rPr>
                <w:b/>
              </w:rPr>
            </w:pPr>
            <w:r>
              <w:rPr>
                <w:b/>
              </w:rPr>
              <w:t>Dermatology Recurring Procedures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168"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Dermatology Procedures Equipment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Total</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0"/>
              <w:rPr/>
            </w:pPr>
            <w:r>
              <w:rPr/>
              <w:t>Domestic</w:t>
            </w:r>
          </w:p>
        </w:tc>
        <w:tc>
          <w:tcPr>
            <w:tcW w:w="60" w:type="dxa"/>
            <w:tcBorders/>
            <w:shd w:fill="CCEEFF" w:val="clear"/>
            <w:vAlign w:val="bottom"/>
          </w:tcPr>
          <w:p>
            <w:pPr>
              <w:pStyle w:val="TableContents"/>
              <w:spacing w:before="0" w:after="283"/>
              <w:jc w:val="right"/>
              <w:rPr/>
            </w:pPr>
            <w:r>
              <w:rPr/>
              <w:t> </w:t>
            </w:r>
          </w:p>
        </w:tc>
        <w:tc>
          <w:tcPr>
            <w:tcW w:w="527" w:type="dxa"/>
            <w:tcBorders/>
            <w:shd w:fill="CCEEFF" w:val="clear"/>
            <w:vAlign w:val="bottom"/>
          </w:tcPr>
          <w:p>
            <w:pPr>
              <w:pStyle w:val="TableContents"/>
              <w:spacing w:before="0" w:after="0"/>
              <w:jc w:val="left"/>
              <w:rPr/>
            </w:pPr>
            <w:r>
              <w:rPr/>
              <w:t>$</w:t>
            </w:r>
          </w:p>
        </w:tc>
        <w:tc>
          <w:tcPr>
            <w:tcW w:w="2573" w:type="dxa"/>
            <w:tcBorders/>
            <w:shd w:fill="CCEEFF" w:val="clear"/>
            <w:vAlign w:val="bottom"/>
          </w:tcPr>
          <w:p>
            <w:pPr>
              <w:pStyle w:val="TableContents"/>
              <w:spacing w:before="0" w:after="0"/>
              <w:jc w:val="right"/>
              <w:rPr/>
            </w:pPr>
            <w:r>
              <w:rPr/>
              <w:t>21,215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33" w:type="dxa"/>
            <w:tcBorders/>
            <w:shd w:fill="CCEEFF" w:val="clear"/>
            <w:vAlign w:val="bottom"/>
          </w:tcPr>
          <w:p>
            <w:pPr>
              <w:pStyle w:val="TableContents"/>
              <w:spacing w:before="0" w:after="0"/>
              <w:jc w:val="left"/>
              <w:rPr/>
            </w:pPr>
            <w:r>
              <w:rPr/>
              <w:t>$</w:t>
            </w:r>
          </w:p>
        </w:tc>
        <w:tc>
          <w:tcPr>
            <w:tcW w:w="2535" w:type="dxa"/>
            <w:tcBorders/>
            <w:shd w:fill="CCEEFF" w:val="clear"/>
            <w:vAlign w:val="bottom"/>
          </w:tcPr>
          <w:p>
            <w:pPr>
              <w:pStyle w:val="TableContents"/>
              <w:spacing w:before="0" w:after="0"/>
              <w:jc w:val="right"/>
              <w:rPr/>
            </w:pPr>
            <w:r>
              <w:rPr/>
              <w:t>1,982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pPr>
            <w:r>
              <w:rPr/>
              <w:t>$</w:t>
            </w:r>
          </w:p>
        </w:tc>
        <w:tc>
          <w:tcPr>
            <w:tcW w:w="680" w:type="dxa"/>
            <w:tcBorders/>
            <w:shd w:fill="CCEEFF" w:val="clear"/>
            <w:vAlign w:val="bottom"/>
          </w:tcPr>
          <w:p>
            <w:pPr>
              <w:pStyle w:val="TableContents"/>
              <w:spacing w:before="0" w:after="0"/>
              <w:jc w:val="right"/>
              <w:rPr/>
            </w:pPr>
            <w:r>
              <w:rPr/>
              <w:t>23,197</w:t>
            </w:r>
          </w:p>
        </w:tc>
        <w:tc>
          <w:tcPr>
            <w:tcW w:w="77" w:type="dxa"/>
            <w:tcBorders/>
            <w:shd w:fill="CCEEFF" w:val="clear"/>
            <w:vAlign w:val="bottom"/>
          </w:tcPr>
          <w:p>
            <w:pPr>
              <w:pStyle w:val="TableContents"/>
              <w:spacing w:before="0" w:after="283"/>
              <w:jc w:val="left"/>
              <w:rPr/>
            </w:pPr>
            <w:r>
              <w:rPr/>
              <w:t> </w:t>
            </w:r>
          </w:p>
        </w:tc>
      </w:tr>
      <w:tr>
        <w:trPr/>
        <w:tc>
          <w:tcPr>
            <w:tcW w:w="2740" w:type="dxa"/>
            <w:tcBorders/>
            <w:shd w:fill="auto" w:val="clear"/>
            <w:vAlign w:val="bottom"/>
          </w:tcPr>
          <w:p>
            <w:pPr>
              <w:pStyle w:val="TableContents"/>
              <w:spacing w:before="0" w:after="283"/>
              <w:rPr/>
            </w:pPr>
            <w:r>
              <w:rPr/>
              <w:t>China</w:t>
            </w:r>
          </w:p>
        </w:tc>
        <w:tc>
          <w:tcPr>
            <w:tcW w:w="60" w:type="dxa"/>
            <w:tcBorders/>
            <w:shd w:fill="auto" w:val="clear"/>
            <w:vAlign w:val="bottom"/>
          </w:tcPr>
          <w:p>
            <w:pPr>
              <w:pStyle w:val="TableContents"/>
              <w:spacing w:before="0" w:after="283"/>
              <w:jc w:val="right"/>
              <w:rPr/>
            </w:pPr>
            <w:r>
              <w:rPr/>
              <w:t> </w:t>
            </w:r>
          </w:p>
        </w:tc>
        <w:tc>
          <w:tcPr>
            <w:tcW w:w="527" w:type="dxa"/>
            <w:tcBorders/>
            <w:shd w:fill="auto" w:val="clear"/>
            <w:vAlign w:val="bottom"/>
          </w:tcPr>
          <w:p>
            <w:pPr>
              <w:pStyle w:val="TableContents"/>
              <w:spacing w:before="0" w:after="283"/>
              <w:jc w:val="left"/>
              <w:rPr/>
            </w:pPr>
            <w:r>
              <w:rPr/>
              <w:t> </w:t>
            </w:r>
          </w:p>
        </w:tc>
        <w:tc>
          <w:tcPr>
            <w:tcW w:w="257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33" w:type="dxa"/>
            <w:tcBorders/>
            <w:shd w:fill="auto" w:val="clear"/>
            <w:vAlign w:val="bottom"/>
          </w:tcPr>
          <w:p>
            <w:pPr>
              <w:pStyle w:val="TableContents"/>
              <w:spacing w:before="0" w:after="283"/>
              <w:jc w:val="left"/>
              <w:rPr/>
            </w:pPr>
            <w:r>
              <w:rPr/>
              <w:t> </w:t>
            </w:r>
          </w:p>
        </w:tc>
        <w:tc>
          <w:tcPr>
            <w:tcW w:w="2535" w:type="dxa"/>
            <w:tcBorders/>
            <w:shd w:fill="auto" w:val="clear"/>
            <w:vAlign w:val="bottom"/>
          </w:tcPr>
          <w:p>
            <w:pPr>
              <w:pStyle w:val="TableContents"/>
              <w:spacing w:before="0" w:after="283"/>
              <w:jc w:val="right"/>
              <w:rPr/>
            </w:pPr>
            <w:r>
              <w:rPr/>
              <w:t>931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931</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283"/>
              <w:rPr/>
            </w:pPr>
            <w:r>
              <w:rPr/>
              <w:t>Korea</w:t>
            </w:r>
          </w:p>
        </w:tc>
        <w:tc>
          <w:tcPr>
            <w:tcW w:w="60" w:type="dxa"/>
            <w:tcBorders/>
            <w:shd w:fill="CCEEFF" w:val="clear"/>
            <w:vAlign w:val="bottom"/>
          </w:tcPr>
          <w:p>
            <w:pPr>
              <w:pStyle w:val="TableContents"/>
              <w:spacing w:before="0" w:after="283"/>
              <w:jc w:val="right"/>
              <w:rPr/>
            </w:pPr>
            <w:r>
              <w:rPr/>
              <w:t> </w:t>
            </w:r>
          </w:p>
        </w:tc>
        <w:tc>
          <w:tcPr>
            <w:tcW w:w="527" w:type="dxa"/>
            <w:tcBorders/>
            <w:shd w:fill="CCEEFF" w:val="clear"/>
            <w:vAlign w:val="bottom"/>
          </w:tcPr>
          <w:p>
            <w:pPr>
              <w:pStyle w:val="TableContents"/>
              <w:spacing w:before="0" w:after="283"/>
              <w:jc w:val="left"/>
              <w:rPr/>
            </w:pPr>
            <w:r>
              <w:rPr/>
              <w:t> </w:t>
            </w:r>
          </w:p>
        </w:tc>
        <w:tc>
          <w:tcPr>
            <w:tcW w:w="2573" w:type="dxa"/>
            <w:tcBorders/>
            <w:shd w:fill="CCEEFF" w:val="clear"/>
            <w:vAlign w:val="bottom"/>
          </w:tcPr>
          <w:p>
            <w:pPr>
              <w:pStyle w:val="TableContents"/>
              <w:spacing w:before="0" w:after="283"/>
              <w:jc w:val="right"/>
              <w:rPr/>
            </w:pPr>
            <w:r>
              <w:rPr/>
              <w:t>941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33" w:type="dxa"/>
            <w:tcBorders/>
            <w:shd w:fill="CCEEFF" w:val="clear"/>
            <w:vAlign w:val="bottom"/>
          </w:tcPr>
          <w:p>
            <w:pPr>
              <w:pStyle w:val="TableContents"/>
              <w:spacing w:before="0" w:after="283"/>
              <w:jc w:val="left"/>
              <w:rPr/>
            </w:pPr>
            <w:r>
              <w:rPr/>
              <w:t> </w:t>
            </w:r>
          </w:p>
        </w:tc>
        <w:tc>
          <w:tcPr>
            <w:tcW w:w="2535" w:type="dxa"/>
            <w:tcBorders/>
            <w:shd w:fill="CCEEFF" w:val="clear"/>
            <w:vAlign w:val="bottom"/>
          </w:tcPr>
          <w:p>
            <w:pPr>
              <w:pStyle w:val="TableContents"/>
              <w:spacing w:before="0" w:after="283"/>
              <w:jc w:val="right"/>
              <w:rPr/>
            </w:pPr>
            <w:r>
              <w:rPr/>
              <w:t>2,412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3,353</w:t>
            </w:r>
          </w:p>
        </w:tc>
        <w:tc>
          <w:tcPr>
            <w:tcW w:w="77" w:type="dxa"/>
            <w:tcBorders/>
            <w:shd w:fill="CCEEFF" w:val="clear"/>
            <w:vAlign w:val="bottom"/>
          </w:tcPr>
          <w:p>
            <w:pPr>
              <w:pStyle w:val="TableContents"/>
              <w:spacing w:before="0" w:after="283"/>
              <w:jc w:val="left"/>
              <w:rPr/>
            </w:pPr>
            <w:r>
              <w:rPr/>
              <w:t> </w:t>
            </w:r>
          </w:p>
        </w:tc>
      </w:tr>
      <w:tr>
        <w:trPr/>
        <w:tc>
          <w:tcPr>
            <w:tcW w:w="2740" w:type="dxa"/>
            <w:tcBorders/>
            <w:shd w:fill="auto" w:val="clear"/>
            <w:vAlign w:val="bottom"/>
          </w:tcPr>
          <w:p>
            <w:pPr>
              <w:pStyle w:val="TableContents"/>
              <w:spacing w:before="0" w:after="0"/>
              <w:rPr/>
            </w:pPr>
            <w:r>
              <w:rPr/>
              <w:t>Other foreign</w:t>
            </w:r>
          </w:p>
        </w:tc>
        <w:tc>
          <w:tcPr>
            <w:tcW w:w="60" w:type="dxa"/>
            <w:tcBorders/>
            <w:shd w:fill="auto" w:val="clear"/>
            <w:vAlign w:val="bottom"/>
          </w:tcPr>
          <w:p>
            <w:pPr>
              <w:pStyle w:val="TableContents"/>
              <w:spacing w:before="0" w:after="283"/>
              <w:jc w:val="right"/>
              <w:rPr/>
            </w:pPr>
            <w:r>
              <w:rPr/>
              <w:t> </w:t>
            </w:r>
          </w:p>
        </w:tc>
        <w:tc>
          <w:tcPr>
            <w:tcW w:w="5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573" w:type="dxa"/>
            <w:tcBorders>
              <w:bottom w:val="single" w:sz="12" w:space="0" w:color="000000"/>
            </w:tcBorders>
            <w:shd w:fill="auto" w:val="clear"/>
            <w:tcMar>
              <w:bottom w:w="28" w:type="dxa"/>
            </w:tcMar>
            <w:vAlign w:val="bottom"/>
          </w:tcPr>
          <w:p>
            <w:pPr>
              <w:pStyle w:val="TableContents"/>
              <w:spacing w:before="0" w:after="0"/>
              <w:jc w:val="right"/>
              <w:rPr/>
            </w:pPr>
            <w:r>
              <w:rPr/>
              <w:t>372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3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535" w:type="dxa"/>
            <w:tcBorders>
              <w:bottom w:val="single" w:sz="12" w:space="0" w:color="000000"/>
            </w:tcBorders>
            <w:shd w:fill="auto" w:val="clear"/>
            <w:tcMar>
              <w:bottom w:w="28" w:type="dxa"/>
            </w:tcMar>
            <w:vAlign w:val="bottom"/>
          </w:tcPr>
          <w:p>
            <w:pPr>
              <w:pStyle w:val="TableContents"/>
              <w:spacing w:before="0" w:after="0"/>
              <w:jc w:val="right"/>
              <w:rPr/>
            </w:pPr>
            <w:r>
              <w:rPr/>
              <w:t>2,124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2,496</w:t>
            </w:r>
          </w:p>
        </w:tc>
        <w:tc>
          <w:tcPr>
            <w:tcW w:w="77" w:type="dxa"/>
            <w:tcBorders/>
            <w:shd w:fill="auto" w:val="clear"/>
            <w:vAlign w:val="bottom"/>
          </w:tcPr>
          <w:p>
            <w:pPr>
              <w:pStyle w:val="TableContents"/>
              <w:spacing w:before="0" w:after="283"/>
              <w:jc w:val="left"/>
              <w:rPr/>
            </w:pPr>
            <w:r>
              <w:rPr/>
              <w:t> </w:t>
            </w:r>
          </w:p>
        </w:tc>
      </w:tr>
      <w:tr>
        <w:trPr/>
        <w:tc>
          <w:tcPr>
            <w:tcW w:w="2740" w:type="dxa"/>
            <w:tcBorders/>
            <w:shd w:fill="CCEEFF" w:val="clear"/>
            <w:vAlign w:val="bottom"/>
          </w:tcPr>
          <w:p>
            <w:pPr>
              <w:pStyle w:val="TableContents"/>
              <w:spacing w:before="0" w:after="0"/>
              <w:rPr/>
            </w:pPr>
            <w:r>
              <w:rPr/>
              <w:t>Total</w:t>
            </w:r>
          </w:p>
        </w:tc>
        <w:tc>
          <w:tcPr>
            <w:tcW w:w="60" w:type="dxa"/>
            <w:tcBorders/>
            <w:shd w:fill="CCEEFF" w:val="clear"/>
            <w:vAlign w:val="bottom"/>
          </w:tcPr>
          <w:p>
            <w:pPr>
              <w:pStyle w:val="TableContents"/>
              <w:spacing w:before="0" w:after="283"/>
              <w:jc w:val="right"/>
              <w:rPr/>
            </w:pPr>
            <w:r>
              <w:rPr/>
              <w:t> </w:t>
            </w:r>
          </w:p>
        </w:tc>
        <w:tc>
          <w:tcPr>
            <w:tcW w:w="527"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573" w:type="dxa"/>
            <w:tcBorders>
              <w:bottom w:val="double" w:sz="8" w:space="0" w:color="000000"/>
            </w:tcBorders>
            <w:shd w:fill="CCEEFF" w:val="clear"/>
            <w:tcMar>
              <w:bottom w:w="28" w:type="dxa"/>
            </w:tcMar>
            <w:vAlign w:val="bottom"/>
          </w:tcPr>
          <w:p>
            <w:pPr>
              <w:pStyle w:val="TableContents"/>
              <w:spacing w:before="0" w:after="0"/>
              <w:jc w:val="right"/>
              <w:rPr/>
            </w:pPr>
            <w:r>
              <w:rPr/>
              <w:t>22,528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33"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2535" w:type="dxa"/>
            <w:tcBorders>
              <w:bottom w:val="double" w:sz="8" w:space="0" w:color="000000"/>
            </w:tcBorders>
            <w:shd w:fill="CCEEFF" w:val="clear"/>
            <w:tcMar>
              <w:bottom w:w="28" w:type="dxa"/>
            </w:tcMar>
            <w:vAlign w:val="bottom"/>
          </w:tcPr>
          <w:p>
            <w:pPr>
              <w:pStyle w:val="TableContents"/>
              <w:spacing w:before="0" w:after="0"/>
              <w:jc w:val="right"/>
              <w:rPr/>
            </w:pPr>
            <w:r>
              <w:rPr/>
              <w:t>7,449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29,977</w:t>
            </w:r>
          </w:p>
        </w:tc>
        <w:tc>
          <w:tcPr>
            <w:tcW w:w="77"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As of December 31, 2022 and 2021, total assets by reportable segment were as follows (in thousands):</w:t>
      </w:r>
    </w:p>
    <w:p>
      <w:pPr>
        <w:pStyle w:val="TextBody"/>
        <w:spacing w:before="0" w:after="0"/>
        <w:jc w:val="left"/>
        <w:rPr>
          <w:rFonts w:ascii="Times New Roman" w:hAnsi="Times New Roman"/>
          <w:sz w:val="20"/>
        </w:rPr>
      </w:pPr>
      <w:r>
        <w:rPr>
          <w:rFonts w:ascii="Times New Roman" w:hAnsi="Times New Roman"/>
          <w:sz w:val="20"/>
        </w:rPr>
      </w:r>
    </w:p>
    <w:tbl>
      <w:tblPr>
        <w:tblW w:w="5320" w:type="dxa"/>
        <w:jc w:val="left"/>
        <w:tblInd w:w="0" w:type="dxa"/>
        <w:tblCellMar>
          <w:top w:w="0" w:type="dxa"/>
          <w:left w:w="0" w:type="dxa"/>
          <w:bottom w:w="0" w:type="dxa"/>
          <w:right w:w="0" w:type="dxa"/>
        </w:tblCellMar>
      </w:tblPr>
      <w:tblGrid>
        <w:gridCol w:w="3425"/>
        <w:gridCol w:w="60"/>
        <w:gridCol w:w="140"/>
        <w:gridCol w:w="680"/>
        <w:gridCol w:w="60"/>
        <w:gridCol w:w="60"/>
        <w:gridCol w:w="140"/>
        <w:gridCol w:w="680"/>
        <w:gridCol w:w="75"/>
      </w:tblGrid>
      <w:tr>
        <w:trPr/>
        <w:tc>
          <w:tcPr>
            <w:tcW w:w="3425" w:type="dxa"/>
            <w:tcBorders/>
            <w:shd w:fill="auto" w:val="clear"/>
            <w:vAlign w:val="bottom"/>
          </w:tcPr>
          <w:p>
            <w:pPr>
              <w:pStyle w:val="TableContents"/>
              <w:spacing w:before="0" w:after="0"/>
              <w:rPr/>
            </w:pPr>
            <w:r>
              <w:rPr/>
              <w:t> </w:t>
            </w:r>
          </w:p>
        </w:tc>
        <w:tc>
          <w:tcPr>
            <w:tcW w:w="60" w:type="dxa"/>
            <w:tcBorders/>
            <w:shd w:fill="auto" w:val="clear"/>
            <w:vAlign w:val="bottom"/>
          </w:tcPr>
          <w:p>
            <w:pPr>
              <w:pStyle w:val="TableContents"/>
              <w:spacing w:before="0" w:after="283"/>
              <w:rPr/>
            </w:pPr>
            <w:r>
              <w:rPr/>
              <w:t> </w:t>
            </w:r>
          </w:p>
        </w:tc>
        <w:tc>
          <w:tcPr>
            <w:tcW w:w="1760"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tc>
        <w:tc>
          <w:tcPr>
            <w:tcW w:w="75" w:type="dxa"/>
            <w:tcBorders/>
            <w:shd w:fill="auto" w:val="clear"/>
            <w:vAlign w:val="bottom"/>
          </w:tcPr>
          <w:p>
            <w:pPr>
              <w:pStyle w:val="TableContents"/>
              <w:spacing w:before="0" w:after="283"/>
              <w:rPr/>
            </w:pPr>
            <w:r>
              <w:rPr/>
              <w:t> </w:t>
            </w:r>
          </w:p>
        </w:tc>
      </w:tr>
      <w:tr>
        <w:trPr/>
        <w:tc>
          <w:tcPr>
            <w:tcW w:w="3425" w:type="dxa"/>
            <w:tcBorders/>
            <w:shd w:fill="auto" w:val="clear"/>
            <w:vAlign w:val="bottom"/>
          </w:tcPr>
          <w:p>
            <w:pPr>
              <w:pStyle w:val="TableContents"/>
              <w:spacing w:before="0" w:after="0"/>
              <w:rPr/>
            </w:pPr>
            <w:r>
              <w:rPr/>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2021</w:t>
            </w:r>
          </w:p>
        </w:tc>
        <w:tc>
          <w:tcPr>
            <w:tcW w:w="75" w:type="dxa"/>
            <w:tcBorders/>
            <w:shd w:fill="auto" w:val="clear"/>
            <w:vAlign w:val="bottom"/>
          </w:tcPr>
          <w:p>
            <w:pPr>
              <w:pStyle w:val="TableContents"/>
              <w:spacing w:before="0" w:after="283"/>
              <w:rPr/>
            </w:pPr>
            <w:r>
              <w:rPr/>
              <w:t> </w:t>
            </w:r>
          </w:p>
        </w:tc>
      </w:tr>
      <w:tr>
        <w:trPr/>
        <w:tc>
          <w:tcPr>
            <w:tcW w:w="3425" w:type="dxa"/>
            <w:tcBorders/>
            <w:shd w:fill="CCEEFF" w:val="clear"/>
            <w:vAlign w:val="bottom"/>
          </w:tcPr>
          <w:p>
            <w:pPr>
              <w:pStyle w:val="TableContents"/>
              <w:spacing w:before="0" w:after="0"/>
              <w:rPr/>
            </w:pPr>
            <w:r>
              <w:rPr/>
              <w:t>Dermatology recurring procedures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37,230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30,897</w:t>
            </w:r>
          </w:p>
        </w:tc>
        <w:tc>
          <w:tcPr>
            <w:tcW w:w="75" w:type="dxa"/>
            <w:tcBorders/>
            <w:shd w:fill="CCEEFF" w:val="clear"/>
            <w:vAlign w:val="bottom"/>
          </w:tcPr>
          <w:p>
            <w:pPr>
              <w:pStyle w:val="TableContents"/>
              <w:spacing w:before="0" w:after="283"/>
              <w:rPr/>
            </w:pPr>
            <w:r>
              <w:rPr/>
              <w:t> </w:t>
            </w:r>
          </w:p>
        </w:tc>
      </w:tr>
      <w:tr>
        <w:trPr/>
        <w:tc>
          <w:tcPr>
            <w:tcW w:w="3425" w:type="dxa"/>
            <w:tcBorders/>
            <w:shd w:fill="auto" w:val="clear"/>
            <w:vAlign w:val="bottom"/>
          </w:tcPr>
          <w:p>
            <w:pPr>
              <w:pStyle w:val="TableContents"/>
              <w:spacing w:before="0" w:after="0"/>
              <w:rPr/>
            </w:pPr>
            <w:r>
              <w:rPr/>
              <w:t>Dermatology procedures equipment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7,890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2,662</w:t>
            </w:r>
          </w:p>
        </w:tc>
        <w:tc>
          <w:tcPr>
            <w:tcW w:w="75" w:type="dxa"/>
            <w:tcBorders/>
            <w:shd w:fill="auto" w:val="clear"/>
            <w:vAlign w:val="bottom"/>
          </w:tcPr>
          <w:p>
            <w:pPr>
              <w:pStyle w:val="TableContents"/>
              <w:spacing w:before="0" w:after="283"/>
              <w:rPr/>
            </w:pPr>
            <w:r>
              <w:rPr/>
              <w:t> </w:t>
            </w:r>
          </w:p>
        </w:tc>
      </w:tr>
      <w:tr>
        <w:trPr/>
        <w:tc>
          <w:tcPr>
            <w:tcW w:w="3425" w:type="dxa"/>
            <w:tcBorders/>
            <w:shd w:fill="CCEEFF" w:val="clear"/>
            <w:vAlign w:val="bottom"/>
          </w:tcPr>
          <w:p>
            <w:pPr>
              <w:pStyle w:val="TableContents"/>
              <w:spacing w:before="0" w:after="0"/>
              <w:rPr/>
            </w:pPr>
            <w:r>
              <w:rPr/>
              <w:t>Other unallocated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7,152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13,034</w:t>
            </w:r>
          </w:p>
        </w:tc>
        <w:tc>
          <w:tcPr>
            <w:tcW w:w="75" w:type="dxa"/>
            <w:tcBorders/>
            <w:shd w:fill="CCEEFF" w:val="clear"/>
            <w:vAlign w:val="bottom"/>
          </w:tcPr>
          <w:p>
            <w:pPr>
              <w:pStyle w:val="TableContents"/>
              <w:spacing w:before="0" w:after="283"/>
              <w:rPr/>
            </w:pPr>
            <w:r>
              <w:rPr/>
              <w:t> </w:t>
            </w:r>
          </w:p>
        </w:tc>
      </w:tr>
      <w:tr>
        <w:trPr/>
        <w:tc>
          <w:tcPr>
            <w:tcW w:w="3425" w:type="dxa"/>
            <w:tcBorders/>
            <w:shd w:fill="auto" w:val="clear"/>
            <w:vAlign w:val="bottom"/>
          </w:tcPr>
          <w:p>
            <w:pPr>
              <w:pStyle w:val="TableContents"/>
              <w:spacing w:before="0" w:after="0"/>
              <w:ind w:left="360" w:right="0" w:hanging="0"/>
              <w:rPr/>
            </w:pPr>
            <w:r>
              <w:rPr/>
              <w:t>Consolidated total</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52,272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46,593</w:t>
            </w:r>
          </w:p>
        </w:tc>
        <w:tc>
          <w:tcPr>
            <w:tcW w:w="75" w:type="dxa"/>
            <w:tcBorders/>
            <w:shd w:fill="auto" w:val="clear"/>
            <w:vAlign w:val="bottom"/>
          </w:tcPr>
          <w:p>
            <w:pPr>
              <w:pStyle w:val="TableContents"/>
              <w:spacing w:before="0" w:after="283"/>
              <w:rPr/>
            </w:pPr>
            <w:r>
              <w:rPr/>
              <w:t> </w:t>
            </w:r>
          </w:p>
        </w:tc>
      </w:tr>
    </w:tbl>
    <w:p>
      <w:pPr>
        <w:pStyle w:val="TextBody"/>
        <w:spacing w:before="0" w:after="0"/>
        <w:jc w:val="both"/>
        <w:rPr>
          <w:color w:val="000000"/>
          <w:highlight w:val="white"/>
        </w:rPr>
      </w:pPr>
      <w:r>
        <w:rPr>
          <w:color w:val="000000"/>
          <w:highlight w:val="white"/>
        </w:rPr>
        <w:t> </w:t>
      </w:r>
    </w:p>
    <w:p>
      <w:pPr>
        <w:pStyle w:val="TextBody"/>
        <w:spacing w:before="200" w:after="200"/>
        <w:jc w:val="center"/>
        <w:rPr>
          <w:rFonts w:ascii="Times New Roman" w:hAnsi="Times New Roman"/>
          <w:b w:val="false"/>
          <w:i w:val="false"/>
          <w:caps w:val="false"/>
          <w:smallCaps w:val="false"/>
          <w:color w:val="000000"/>
          <w:sz w:val="16"/>
          <w:highlight w:val="white"/>
        </w:rPr>
      </w:pPr>
      <w:r>
        <w:rPr>
          <w:rFonts w:ascii="Times New Roman" w:hAnsi="Times New Roman"/>
          <w:b w:val="false"/>
          <w:i w:val="false"/>
          <w:caps w:val="false"/>
          <w:smallCaps w:val="false"/>
          <w:color w:val="000000"/>
          <w:sz w:val="16"/>
          <w:highlight w:val="white"/>
        </w:rPr>
        <w:t>F-30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highlight w:val="white"/>
          </w:rPr>
          <w:t>Table of Contents</w:t>
        </w:r>
      </w:hyperlink>
    </w:p>
    <w:p>
      <w:pPr>
        <w:pStyle w:val="TextBody"/>
        <w:spacing w:before="200" w:after="200"/>
        <w:jc w:val="center"/>
        <w:rPr>
          <w:rFonts w:ascii="Times New Roman" w:hAnsi="Times New Roman"/>
          <w:b/>
          <w:color w:val="000000"/>
          <w:sz w:val="20"/>
          <w:highlight w:val="white"/>
        </w:rPr>
      </w:pPr>
      <w:r>
        <w:rPr>
          <w:rFonts w:ascii="Times New Roman" w:hAnsi="Times New Roman"/>
          <w:b/>
          <w:color w:val="000000"/>
          <w:sz w:val="20"/>
          <w:highlight w:val="white"/>
        </w:rPr>
        <w:t>STRATA Skin Sciences, Inc. and Subsidiary</w:t>
        <w:br/>
        <w:t>Notes to Consolidated Financial Statements</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highlight w:val="white"/>
        </w:rPr>
      </w:pPr>
      <w:r>
        <w:rPr>
          <w:rFonts w:ascii="Times New Roman" w:hAnsi="Times New Roman"/>
          <w:color w:val="000000"/>
          <w:sz w:val="20"/>
          <w:highlight w:val="white"/>
        </w:rPr>
        <w:t xml:space="preserve">Long-lived assets of $0.6 million and $1.0 million were located in international markets, </w:t>
      </w:r>
      <w:r>
        <w:rPr>
          <w:rFonts w:ascii="Times New Roman" w:hAnsi="Times New Roman"/>
          <w:b w:val="false"/>
          <w:i w:val="false"/>
          <w:caps w:val="false"/>
          <w:smallCaps w:val="false"/>
          <w:color w:val="000000"/>
          <w:spacing w:val="0"/>
          <w:sz w:val="20"/>
          <w:highlight w:val="white"/>
        </w:rPr>
        <w:t>primarily Korea and Japan,</w:t>
      </w:r>
      <w:r>
        <w:rPr>
          <w:rFonts w:ascii="Times New Roman" w:hAnsi="Times New Roman"/>
          <w:color w:val="000000"/>
          <w:sz w:val="20"/>
          <w:highlight w:val="white"/>
        </w:rPr>
        <w:t xml:space="preserve"> as of December 31, 2022 and 2021, respectively, with the remainder located in domestic markets.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pPr>
      <w:r>
        <w:rPr/>
      </w:r>
    </w:p>
    <w:p>
      <w:pPr>
        <w:pStyle w:val="TextBody"/>
        <w:spacing w:before="0" w:after="0"/>
        <w:ind w:left="0" w:right="0" w:hanging="0"/>
        <w:jc w:val="both"/>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17. Subsequent Events</w:t>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jc w:val="left"/>
        <w:rPr/>
      </w:pPr>
      <w:r>
        <w:rPr/>
      </w:r>
    </w:p>
    <w:p>
      <w:pPr>
        <w:pStyle w:val="TextBody"/>
        <w:spacing w:before="0" w:after="0"/>
        <w:ind w:left="0" w:right="0" w:firstLine="72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On October 26, 2022, the Company had received written notification from the NASDAQ Stock Market (“Nasdaq”) that the closing bid price of its common stock had been below the minimum $1.00 per share for the previous 30 consecutive business days and that the Company, therefore, was not in compliance with the requirements for continued listing on the NASDAQ Capital Market. On February 27, 2023, the Company received written notice from Nasdaq that it had regained compliance with the listing requirements with respect to its minimum bid price, and the Company will continue to trade on Nasdaq.</w:t>
      </w:r>
    </w:p>
    <w:p>
      <w:pPr>
        <w:pStyle w:val="TextBody"/>
        <w:spacing w:before="0" w:after="0"/>
        <w:ind w:left="0" w:right="0" w:firstLine="72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center"/>
        <w:rPr>
          <w:rFonts w:ascii="Times New Roman" w:hAnsi="Times New Roman"/>
          <w:color w:val="000000"/>
          <w:sz w:val="20"/>
          <w:highlight w:val="white"/>
        </w:rPr>
      </w:pPr>
      <w:r>
        <w:rPr>
          <w:rFonts w:ascii="Times New Roman" w:hAnsi="Times New Roman"/>
          <w:b w:val="false"/>
          <w:i w:val="false"/>
          <w:caps w:val="false"/>
          <w:smallCaps w:val="false"/>
          <w:color w:val="000000"/>
          <w:sz w:val="16"/>
          <w:highlight w:val="white"/>
        </w:rPr>
        <w:t>F-31</w:t>
      </w:r>
      <w:r>
        <w:rPr>
          <w:rFonts w:ascii="Times New Roman" w:hAnsi="Times New Roman"/>
          <w:color w:val="000000"/>
          <w:sz w:val="20"/>
          <w:highlight w:val="white"/>
        </w:rPr>
        <w:t xml:space="preserve"> </w:t>
      </w:r>
    </w:p>
    <w:p>
      <w:pPr>
        <w:pStyle w:val="HorizontalLine"/>
        <w:jc w:val="left"/>
        <w:rPr/>
      </w:pPr>
      <w:r>
        <w:rPr/>
      </w:r>
      <w:r>
        <w:br w:type="page"/>
      </w:r>
    </w:p>
    <w:p>
      <w:pPr>
        <w:pStyle w:val="HorizontalLine"/>
        <w:pBdr>
          <w:bottom w:val="single" w:sz="20" w:space="0" w:color="808080"/>
        </w:pBdr>
        <w:rPr/>
      </w:pPr>
      <w:r>
        <w:rPr/>
      </w:r>
      <w:bookmarkStart w:id="54" w:name="brhc10049943_ex10-25.htm"/>
      <w:bookmarkStart w:id="55" w:name="ksbrhc10049943_ex1025"/>
      <w:bookmarkStart w:id="56" w:name="brhc10049943_ex10-25.htm"/>
      <w:bookmarkStart w:id="57" w:name="ksbrhc10049943_ex1025"/>
      <w:bookmarkEnd w:id="56"/>
      <w:bookmarkEnd w:id="57"/>
    </w:p>
    <w:p>
      <w:pPr>
        <w:pStyle w:val="TextBody"/>
        <w:spacing w:before="0" w:after="0"/>
        <w:jc w:val="right"/>
        <w:rPr>
          <w:b/>
          <w:i w:val="false"/>
          <w:caps w:val="false"/>
          <w:smallCaps w:val="false"/>
        </w:rPr>
      </w:pPr>
      <w:r>
        <w:rPr>
          <w:b/>
          <w:i w:val="false"/>
          <w:caps w:val="false"/>
          <w:smallCaps w:val="false"/>
        </w:rPr>
        <w:t>Exhibit 10.25</w:t>
      </w:r>
    </w:p>
    <w:p>
      <w:pPr>
        <w:pStyle w:val="TextBody"/>
        <w:spacing w:before="0" w:after="0"/>
        <w:jc w:val="right"/>
        <w:rPr>
          <w:b/>
          <w:i/>
        </w:rPr>
      </w:pPr>
      <w:r>
        <w:rPr>
          <w:b/>
          <w:i/>
        </w:rPr>
      </w:r>
    </w:p>
    <w:p>
      <w:pPr>
        <w:pStyle w:val="TextBody"/>
        <w:spacing w:before="0" w:after="0"/>
        <w:jc w:val="right"/>
        <w:rPr>
          <w:b/>
          <w:i/>
        </w:rPr>
      </w:pPr>
      <w:r>
        <w:rPr>
          <w:b/>
          <w:i/>
        </w:rPr>
        <w:t>Execution Version</w:t>
      </w:r>
    </w:p>
    <w:p>
      <w:pPr>
        <w:pStyle w:val="TextBody"/>
        <w:spacing w:before="0" w:after="0"/>
        <w:rPr/>
      </w:pPr>
      <w:r>
        <w:rPr/>
        <w:t> </w:t>
      </w:r>
    </w:p>
    <w:p>
      <w:pPr>
        <w:pStyle w:val="TextBody"/>
        <w:spacing w:before="0" w:after="0"/>
        <w:jc w:val="center"/>
        <w:rPr>
          <w:b/>
          <w:u w:val="single"/>
        </w:rPr>
      </w:pPr>
      <w:bookmarkStart w:id="58" w:name="AMENDMENT_NO._2_TO_CREDIT_AND_SECURITY_A"/>
      <w:bookmarkEnd w:id="58"/>
      <w:r>
        <w:rPr>
          <w:b/>
          <w:u w:val="single"/>
        </w:rPr>
        <w:t>AMENDMENT NO. 2 TO CREDIT AND SECURITY AGREEMENT</w:t>
      </w:r>
    </w:p>
    <w:p>
      <w:pPr>
        <w:pStyle w:val="TextBody"/>
        <w:spacing w:before="0" w:after="0"/>
        <w:rPr/>
      </w:pPr>
      <w:r>
        <w:rPr/>
        <w:t> </w:t>
      </w:r>
    </w:p>
    <w:p>
      <w:pPr>
        <w:pStyle w:val="TextBody"/>
        <w:spacing w:before="0" w:after="0"/>
        <w:ind w:left="0" w:right="0" w:firstLine="720"/>
        <w:jc w:val="both"/>
        <w:rPr/>
      </w:pPr>
      <w:r>
        <w:rPr/>
        <w:t>This AMENDMENT NO. 2 TO CREDIT AND SECURITY AGREEMENT (this “</w:t>
      </w:r>
      <w:r>
        <w:rPr>
          <w:b/>
        </w:rPr>
        <w:t>Agreement</w:t>
      </w:r>
      <w:r>
        <w:rPr/>
        <w:t>”) is made as of this 6th day of September, 2022 (“</w:t>
      </w:r>
      <w:r>
        <w:rPr>
          <w:b/>
        </w:rPr>
        <w:t>Effective Date</w:t>
      </w:r>
      <w:r>
        <w:rPr/>
        <w:t xml:space="preserve">”), by and among </w:t>
      </w:r>
      <w:r>
        <w:rPr>
          <w:b/>
        </w:rPr>
        <w:t>STRATA SKIN SCIENCES, INC.</w:t>
      </w:r>
      <w:r>
        <w:rPr/>
        <w:t>, a Delaware corporation (together with each of its subsidiaries that hereafter becomes a party to this Agreement, the “</w:t>
      </w:r>
      <w:r>
        <w:rPr>
          <w:b/>
        </w:rPr>
        <w:t>Borrower</w:t>
      </w:r>
      <w:r>
        <w:rPr/>
        <w:t xml:space="preserve">”), </w:t>
      </w:r>
      <w:r>
        <w:rPr>
          <w:b/>
        </w:rPr>
        <w:t>MIDCAP FINANCIAL TRUST</w:t>
      </w:r>
      <w:r>
        <w:rPr/>
        <w:t>, as Agent for Lenders (in such capacity and together with its permitted successors and assigns, the “</w:t>
      </w:r>
      <w:r>
        <w:rPr>
          <w:b/>
        </w:rPr>
        <w:t>Agent</w:t>
      </w:r>
      <w:r>
        <w:rPr/>
        <w:t>”) and the other financial institutions or other entities from time to time parties to the Credit Agreement referenced below, each as a Lender.</w:t>
      </w:r>
    </w:p>
    <w:p>
      <w:pPr>
        <w:pStyle w:val="TextBody"/>
        <w:spacing w:before="0" w:after="0"/>
        <w:rPr/>
      </w:pPr>
      <w:r>
        <w:rPr/>
        <w:t> </w:t>
      </w:r>
    </w:p>
    <w:p>
      <w:pPr>
        <w:pStyle w:val="TextBody"/>
        <w:spacing w:before="0" w:after="0"/>
        <w:jc w:val="center"/>
        <w:rPr>
          <w:b/>
        </w:rPr>
      </w:pPr>
      <w:r>
        <w:rPr>
          <w:b/>
        </w:rPr>
        <w:t>RECITALS</w:t>
      </w:r>
    </w:p>
    <w:p>
      <w:pPr>
        <w:pStyle w:val="TextBody"/>
        <w:spacing w:before="0" w:after="0"/>
        <w:rPr/>
      </w:pPr>
      <w:r>
        <w:rPr/>
      </w:r>
    </w:p>
    <w:p>
      <w:pPr>
        <w:pStyle w:val="TextBody"/>
        <w:spacing w:before="0" w:after="0"/>
        <w:ind w:left="0" w:right="0" w:firstLine="720"/>
        <w:jc w:val="both"/>
        <w:rPr/>
      </w:pPr>
      <w:r>
        <w:rPr/>
        <w:t>A.        Agent, Lenders and Borrower have entered into that certain Credit and Security Agreement, dated as of September 30, 2021 (as amended by that certain Limited Consent and Amendment No. 1 to Credit and Security Agreement, dated as of January 10, 2022, and as further amended, restated, supplemented or otherwise modified from time to time prior to the date hereof, the “</w:t>
      </w:r>
      <w:r>
        <w:rPr>
          <w:b/>
        </w:rPr>
        <w:t>Existing Credit Agreement</w:t>
      </w:r>
      <w:r>
        <w:rPr/>
        <w:t>” and the Existing Credit Agreement, as amended hereby, the “</w:t>
      </w:r>
      <w:r>
        <w:rPr>
          <w:b/>
        </w:rPr>
        <w:t>Credit Agreement</w:t>
      </w:r>
      <w:r>
        <w:rPr/>
        <w:t>”), pursuant to which the Lenders have agreed to make certain advances of money and to extend certain financial accommodations to Borrower in the amounts and manner set forth in the Credit Agreement.</w:t>
      </w:r>
    </w:p>
    <w:p>
      <w:pPr>
        <w:pStyle w:val="TextBody"/>
        <w:spacing w:before="0" w:after="0"/>
        <w:rPr/>
      </w:pPr>
      <w:r>
        <w:rPr/>
        <w:t> </w:t>
      </w:r>
    </w:p>
    <w:p>
      <w:pPr>
        <w:pStyle w:val="TextBody"/>
        <w:spacing w:before="0" w:after="0"/>
        <w:ind w:left="0" w:right="0" w:firstLine="720"/>
        <w:jc w:val="both"/>
        <w:rPr/>
      </w:pPr>
      <w:r>
        <w:rPr/>
        <w:t>B.         Borrowers have requested, and Agent and Lenders have agreed, to amend certain provisions of the Existing Credit Agreement, all in accordance with the terms and subject to the conditions set forth herein.</w:t>
      </w:r>
    </w:p>
    <w:p>
      <w:pPr>
        <w:pStyle w:val="TextBody"/>
        <w:spacing w:before="0" w:after="0"/>
        <w:rPr/>
      </w:pPr>
      <w:r>
        <w:rPr/>
        <w:t> </w:t>
      </w:r>
    </w:p>
    <w:p>
      <w:pPr>
        <w:pStyle w:val="TextBody"/>
        <w:spacing w:before="0" w:after="0"/>
        <w:jc w:val="center"/>
        <w:rPr>
          <w:b/>
        </w:rPr>
      </w:pPr>
      <w:r>
        <w:rPr>
          <w:b/>
        </w:rPr>
        <w:t>AGREEMENT</w:t>
      </w:r>
    </w:p>
    <w:p>
      <w:pPr>
        <w:pStyle w:val="TextBody"/>
        <w:spacing w:before="0" w:after="0"/>
        <w:rPr/>
      </w:pPr>
      <w:r>
        <w:rPr/>
        <w:t> </w:t>
      </w:r>
    </w:p>
    <w:p>
      <w:pPr>
        <w:pStyle w:val="TextBody"/>
        <w:spacing w:before="0" w:after="0"/>
        <w:ind w:left="0" w:right="0" w:firstLine="720"/>
        <w:jc w:val="both"/>
        <w:rPr/>
      </w:pPr>
      <w:r>
        <w:rPr/>
        <w:t>NOW, THEREFORE, in consideration of the foregoing, the terms and conditions set forth in this Agreement, and other good and valuable consideration, the receipt and sufficiency of which are hereby acknowledged, Agent, Lenders, and the Borrower hereby agree as follows:</w:t>
      </w:r>
    </w:p>
    <w:p>
      <w:pPr>
        <w:pStyle w:val="TextBody"/>
        <w:spacing w:before="0" w:after="0"/>
        <w:rPr/>
      </w:pPr>
      <w:r>
        <w:rPr/>
      </w:r>
    </w:p>
    <w:p>
      <w:pPr>
        <w:pStyle w:val="TextBody"/>
        <w:spacing w:before="0" w:after="0"/>
        <w:ind w:left="0" w:right="0" w:firstLine="720"/>
        <w:jc w:val="both"/>
        <w:rPr/>
      </w:pPr>
      <w:bookmarkStart w:id="59" w:name="z1._Recitals_Construction.__This_Agreeme"/>
      <w:bookmarkEnd w:id="59"/>
      <w:r>
        <w:rPr/>
        <w:t xml:space="preserve">1.         </w:t>
      </w:r>
      <w:r>
        <w:rPr>
          <w:b/>
          <w:u w:val="single"/>
        </w:rPr>
        <w:t>Recitals; Construction</w:t>
      </w:r>
      <w:r>
        <w:rPr/>
        <w:t>. This Agreement shall constitute a Financing Document and the Recitals and each reference to the Credit Agreement, unless otherwise expressly noted, will be deemed to reference the Credit Agreement as modified hereby. Capitalized terms used but not otherwise defined herein shall have the meanings ascribed to them in the Credit Agreement (including those capitalized terms used in the Recitals hereto).</w:t>
      </w:r>
    </w:p>
    <w:p>
      <w:pPr>
        <w:pStyle w:val="TextBody"/>
        <w:spacing w:before="0" w:after="0"/>
        <w:ind w:left="0" w:right="0" w:firstLine="720"/>
        <w:rPr/>
      </w:pPr>
      <w:r>
        <w:rPr/>
        <w:t> </w:t>
      </w:r>
    </w:p>
    <w:p>
      <w:pPr>
        <w:pStyle w:val="TextBody"/>
        <w:spacing w:before="0" w:after="0"/>
        <w:ind w:left="0" w:right="0" w:firstLine="720"/>
        <w:jc w:val="both"/>
        <w:rPr/>
      </w:pPr>
      <w:bookmarkStart w:id="60" w:name="z2._Amendments.__Subject_to_the_terms_an"/>
      <w:bookmarkEnd w:id="60"/>
      <w:r>
        <w:rPr/>
        <w:t xml:space="preserve">2.         </w:t>
      </w:r>
      <w:r>
        <w:rPr>
          <w:b/>
          <w:u w:val="single"/>
        </w:rPr>
        <w:t>Amendments</w:t>
      </w:r>
      <w:r>
        <w:rPr/>
        <w:t xml:space="preserve">. Subject to the terms and conditions of this Agreement, including, without limitation, the conditions to effectiveness set forth in </w:t>
      </w:r>
      <w:r>
        <w:rPr>
          <w:u w:val="single"/>
        </w:rPr>
        <w:t>Section 3</w:t>
      </w:r>
      <w:r>
        <w:rPr/>
        <w:t xml:space="preserve"> below, the Existing Credit Agreement is hereby amended as follows, which amendments to the Existing Credit Agreement are effective as of the first day after the end of the Applicable Interest Period during which this Agreement becomes effective in accordance with </w:t>
      </w:r>
      <w:r>
        <w:rPr>
          <w:u w:val="single"/>
        </w:rPr>
        <w:t>Section 3</w:t>
      </w:r>
      <w:r>
        <w:rPr/>
        <w:t xml:space="preserve"> below:</w:t>
      </w:r>
    </w:p>
    <w:p>
      <w:pPr>
        <w:pStyle w:val="TextBody"/>
        <w:spacing w:before="0" w:after="0"/>
        <w:rPr/>
      </w:pPr>
      <w:r>
        <w:rPr/>
        <w:t> </w:t>
      </w:r>
    </w:p>
    <w:p>
      <w:pPr>
        <w:pStyle w:val="Normal"/>
        <w:spacing w:before="0" w:after="0"/>
        <w:rPr>
          <w:sz w:val="4"/>
          <w:szCs w:val="4"/>
        </w:rPr>
      </w:pPr>
      <w:r>
        <w:rPr>
          <w:sz w:val="4"/>
          <w:szCs w:val="4"/>
        </w:rPr>
      </w:r>
      <w:bookmarkStart w:id="61" w:name="z648f02e8988b4859a004781a57cbde14"/>
      <w:bookmarkStart w:id="62" w:name="z648f02e8988b4859a004781a57cbde14"/>
      <w:bookmarkEnd w:id="62"/>
    </w:p>
    <w:tbl>
      <w:tblPr>
        <w:tblW w:w="7053" w:type="dxa"/>
        <w:jc w:val="left"/>
        <w:tblInd w:w="0" w:type="dxa"/>
        <w:tblCellMar>
          <w:top w:w="0" w:type="dxa"/>
          <w:left w:w="0" w:type="dxa"/>
          <w:bottom w:w="0" w:type="dxa"/>
          <w:right w:w="0" w:type="dxa"/>
        </w:tblCellMar>
      </w:tblPr>
      <w:tblGrid>
        <w:gridCol w:w="38"/>
        <w:gridCol w:w="275"/>
        <w:gridCol w:w="6740"/>
      </w:tblGrid>
      <w:tr>
        <w:trPr/>
        <w:tc>
          <w:tcPr>
            <w:tcW w:w="38"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rPr/>
            </w:pPr>
            <w:r>
              <w:rPr/>
              <w:t>(a)</w:t>
            </w:r>
          </w:p>
        </w:tc>
        <w:tc>
          <w:tcPr>
            <w:tcW w:w="6740" w:type="dxa"/>
            <w:tcBorders/>
            <w:shd w:fill="auto" w:val="clear"/>
            <w:vAlign w:val="center"/>
          </w:tcPr>
          <w:p>
            <w:pPr>
              <w:pStyle w:val="TableContents"/>
              <w:spacing w:before="0" w:after="0"/>
              <w:rPr/>
            </w:pPr>
            <w:r>
              <w:rPr/>
              <w:t>Section 2.6(a) of the Existing Credit Agreement is hereby amended by:</w:t>
            </w:r>
          </w:p>
        </w:tc>
      </w:tr>
    </w:tbl>
    <w:p>
      <w:pPr>
        <w:pStyle w:val="TextBody"/>
        <w:spacing w:before="0" w:after="0"/>
        <w:rPr/>
      </w:pPr>
      <w:r>
        <w:rPr/>
        <w:t> </w:t>
      </w:r>
    </w:p>
    <w:p>
      <w:pPr>
        <w:pStyle w:val="Normal"/>
        <w:spacing w:before="0" w:after="0"/>
        <w:rPr>
          <w:sz w:val="4"/>
          <w:szCs w:val="4"/>
        </w:rPr>
      </w:pPr>
      <w:r>
        <w:rPr>
          <w:sz w:val="4"/>
          <w:szCs w:val="4"/>
        </w:rPr>
      </w:r>
      <w:bookmarkStart w:id="63" w:name="z7073d25c4c584244b623e0605fd31d90"/>
      <w:bookmarkStart w:id="64" w:name="z7073d25c4c584244b623e0605fd31d90"/>
      <w:bookmarkEnd w:id="64"/>
    </w:p>
    <w:tbl>
      <w:tblPr>
        <w:tblW w:w="6333" w:type="dxa"/>
        <w:jc w:val="left"/>
        <w:tblInd w:w="0" w:type="dxa"/>
        <w:tblCellMar>
          <w:top w:w="0" w:type="dxa"/>
          <w:left w:w="0" w:type="dxa"/>
          <w:bottom w:w="0" w:type="dxa"/>
          <w:right w:w="0" w:type="dxa"/>
        </w:tblCellMar>
      </w:tblPr>
      <w:tblGrid>
        <w:gridCol w:w="38"/>
        <w:gridCol w:w="230"/>
        <w:gridCol w:w="6065"/>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pPr>
            <w:r>
              <w:rPr/>
              <w:t>(i)</w:t>
            </w:r>
          </w:p>
        </w:tc>
        <w:tc>
          <w:tcPr>
            <w:tcW w:w="6065" w:type="dxa"/>
            <w:tcBorders/>
            <w:shd w:fill="auto" w:val="clear"/>
            <w:vAlign w:val="center"/>
          </w:tcPr>
          <w:p>
            <w:pPr>
              <w:pStyle w:val="TableContents"/>
              <w:spacing w:before="0" w:after="0"/>
              <w:rPr/>
            </w:pPr>
            <w:r>
              <w:rPr/>
              <w:t>renumbering the existing Section 2.6(a) as Section 2.6(a)(i); and</w:t>
            </w:r>
          </w:p>
        </w:tc>
      </w:tr>
    </w:tbl>
    <w:p>
      <w:pPr>
        <w:pStyle w:val="TextBody"/>
        <w:spacing w:before="0" w:after="0"/>
        <w:rPr/>
      </w:pPr>
      <w:r>
        <w:rPr/>
      </w:r>
    </w:p>
    <w:p>
      <w:pPr>
        <w:pStyle w:val="Normal"/>
        <w:spacing w:before="0" w:after="0"/>
        <w:rPr>
          <w:sz w:val="4"/>
          <w:szCs w:val="4"/>
        </w:rPr>
      </w:pPr>
      <w:r>
        <w:rPr>
          <w:sz w:val="4"/>
          <w:szCs w:val="4"/>
        </w:rPr>
      </w:r>
      <w:bookmarkStart w:id="65" w:name="z72e131dcb53b4f72a108d23692ecd096"/>
      <w:bookmarkStart w:id="66" w:name="z72e131dcb53b4f72a108d23692ecd096"/>
      <w:bookmarkEnd w:id="66"/>
    </w:p>
    <w:tbl>
      <w:tblPr>
        <w:tblW w:w="5418" w:type="dxa"/>
        <w:jc w:val="left"/>
        <w:tblInd w:w="0" w:type="dxa"/>
        <w:tblCellMar>
          <w:top w:w="0" w:type="dxa"/>
          <w:left w:w="0" w:type="dxa"/>
          <w:bottom w:w="0" w:type="dxa"/>
          <w:right w:w="0" w:type="dxa"/>
        </w:tblCellMar>
      </w:tblPr>
      <w:tblGrid>
        <w:gridCol w:w="38"/>
        <w:gridCol w:w="290"/>
        <w:gridCol w:w="509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(ii)</w:t>
            </w:r>
          </w:p>
        </w:tc>
        <w:tc>
          <w:tcPr>
            <w:tcW w:w="5090" w:type="dxa"/>
            <w:tcBorders/>
            <w:shd w:fill="auto" w:val="clear"/>
            <w:vAlign w:val="center"/>
          </w:tcPr>
          <w:p>
            <w:pPr>
              <w:pStyle w:val="TableContents"/>
              <w:spacing w:before="0" w:after="0"/>
              <w:rPr/>
            </w:pPr>
            <w:r>
              <w:rPr/>
              <w:t>adding the following new clauses (ii) and (iii) thereto:</w:t>
            </w:r>
          </w:p>
        </w:tc>
      </w:tr>
    </w:tbl>
    <w:p>
      <w:pPr>
        <w:pStyle w:val="TextBody"/>
        <w:spacing w:before="0" w:after="0"/>
        <w:rPr/>
      </w:pPr>
      <w:r>
        <w:rPr/>
      </w:r>
    </w:p>
    <w:p>
      <w:pPr>
        <w:pStyle w:val="Normal"/>
        <w:spacing w:before="0" w:after="0"/>
        <w:rPr>
          <w:sz w:val="4"/>
          <w:szCs w:val="4"/>
        </w:rPr>
      </w:pPr>
      <w:r>
        <w:rPr>
          <w:sz w:val="4"/>
          <w:szCs w:val="4"/>
        </w:rPr>
      </w:r>
      <w:bookmarkStart w:id="67" w:name="zdac023a2500149408f6c3638a5b2743e"/>
      <w:bookmarkStart w:id="68" w:name="zdac023a2500149408f6c3638a5b2743e"/>
      <w:bookmarkEnd w:id="68"/>
    </w:p>
    <w:tbl>
      <w:tblPr>
        <w:tblW w:w="2525" w:type="dxa"/>
        <w:jc w:val="left"/>
        <w:tblInd w:w="0" w:type="dxa"/>
        <w:tblCellMar>
          <w:top w:w="0" w:type="dxa"/>
          <w:left w:w="0" w:type="dxa"/>
          <w:bottom w:w="0" w:type="dxa"/>
          <w:right w:w="0" w:type="dxa"/>
        </w:tblCellMar>
      </w:tblPr>
      <w:tblGrid>
        <w:gridCol w:w="2525"/>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r>
    </w:tbl>
    <w:p>
      <w:pPr>
        <w:pStyle w:val="HorizontalLine"/>
        <w:pBdr>
          <w:bottom w:val="single" w:sz="20" w:space="0" w:color="808080"/>
        </w:pBdr>
        <w:spacing w:before="200" w:after="200"/>
        <w:rPr/>
      </w:pPr>
      <w:r>
        <w:rPr/>
      </w:r>
    </w:p>
    <w:p>
      <w:pPr>
        <w:pStyle w:val="TextBody"/>
        <w:spacing w:before="0" w:after="0"/>
        <w:ind w:left="1440" w:right="0" w:hanging="0"/>
        <w:jc w:val="both"/>
        <w:rPr/>
      </w:pPr>
      <w:r>
        <w:rPr/>
        <w:t>“</w:t>
      </w:r>
      <w:r>
        <w:rPr/>
        <w:t xml:space="preserve">(ii)  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w:t>
      </w:r>
      <w:r>
        <w:rPr>
          <w:i/>
        </w:rPr>
        <w:t xml:space="preserve">provided </w:t>
      </w:r>
      <w:r>
        <w:rPr/>
        <w:t xml:space="preserve">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w:t>
      </w:r>
      <w:r>
        <w:rPr>
          <w:i/>
        </w:rPr>
        <w:t xml:space="preserve">provided </w:t>
      </w:r>
      <w:r>
        <w:rPr/>
        <w:t>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with notice of the same, any outstanding affected SOFR Loans will be deemed to have been converted to Credit Extensions that bear interest at a rate based on the Applicable Prime Rate at the end of the Applicable Interest Period.</w:t>
      </w:r>
    </w:p>
    <w:p>
      <w:pPr>
        <w:pStyle w:val="TextBody"/>
        <w:spacing w:before="0" w:after="0"/>
        <w:rPr/>
      </w:pPr>
      <w:r>
        <w:rPr/>
      </w:r>
    </w:p>
    <w:p>
      <w:pPr>
        <w:pStyle w:val="TextBody"/>
        <w:spacing w:before="0" w:after="0"/>
        <w:ind w:left="1440" w:right="0" w:hanging="0"/>
        <w:jc w:val="both"/>
        <w:rPr/>
      </w:pPr>
      <w:bookmarkStart w:id="69" w:name="ziii_In_connection_with_Term_SOFR_Agen"/>
      <w:bookmarkEnd w:id="69"/>
      <w:r>
        <w:rPr/>
        <w:t>(iii)  In connection with Term SOFR,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and the Lenders of the effectiveness of any Conforming Changes.”</w:t>
      </w:r>
    </w:p>
    <w:p>
      <w:pPr>
        <w:pStyle w:val="TextBody"/>
        <w:spacing w:before="0" w:after="0"/>
        <w:rPr/>
      </w:pPr>
      <w:r>
        <w:rPr/>
        <w:t> </w:t>
      </w:r>
    </w:p>
    <w:p>
      <w:pPr>
        <w:pStyle w:val="Normal"/>
        <w:spacing w:before="0" w:after="0"/>
        <w:rPr>
          <w:sz w:val="4"/>
          <w:szCs w:val="4"/>
        </w:rPr>
      </w:pPr>
      <w:r>
        <w:rPr>
          <w:sz w:val="4"/>
          <w:szCs w:val="4"/>
        </w:rPr>
      </w:r>
      <w:bookmarkStart w:id="70" w:name="z6575be8c979a4d7eb5be100c99b18b17"/>
      <w:bookmarkStart w:id="71" w:name="z6575be8c979a4d7eb5be100c99b18b17"/>
      <w:bookmarkEnd w:id="71"/>
    </w:p>
    <w:tbl>
      <w:tblPr>
        <w:tblW w:w="7083" w:type="dxa"/>
        <w:jc w:val="left"/>
        <w:tblInd w:w="0" w:type="dxa"/>
        <w:tblCellMar>
          <w:top w:w="0" w:type="dxa"/>
          <w:left w:w="0" w:type="dxa"/>
          <w:bottom w:w="0" w:type="dxa"/>
          <w:right w:w="0" w:type="dxa"/>
        </w:tblCellMar>
      </w:tblPr>
      <w:tblGrid>
        <w:gridCol w:w="38"/>
        <w:gridCol w:w="290"/>
        <w:gridCol w:w="6755"/>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(b)</w:t>
            </w:r>
          </w:p>
        </w:tc>
        <w:tc>
          <w:tcPr>
            <w:tcW w:w="6755" w:type="dxa"/>
            <w:tcBorders/>
            <w:shd w:fill="auto" w:val="clear"/>
            <w:vAlign w:val="center"/>
          </w:tcPr>
          <w:p>
            <w:pPr>
              <w:pStyle w:val="TableContents"/>
              <w:spacing w:before="0" w:after="0"/>
              <w:jc w:val="both"/>
              <w:rPr/>
            </w:pPr>
            <w:r>
              <w:rPr/>
              <w:t>Section 2.6(h) of the Existing Credit Agreement is hereby amended by:</w:t>
            </w:r>
          </w:p>
        </w:tc>
      </w:tr>
    </w:tbl>
    <w:p>
      <w:pPr>
        <w:pStyle w:val="TextBody"/>
        <w:spacing w:before="0" w:after="0"/>
        <w:rPr/>
      </w:pPr>
      <w:r>
        <w:rPr/>
      </w:r>
    </w:p>
    <w:p>
      <w:pPr>
        <w:pStyle w:val="TextBody"/>
        <w:spacing w:before="0" w:after="0"/>
        <w:ind w:left="1440" w:right="0" w:firstLine="720"/>
        <w:rPr/>
      </w:pPr>
      <w:bookmarkStart w:id="72" w:name="zi_deleting_the_name_of_such_subsection"/>
      <w:bookmarkEnd w:id="72"/>
      <w:r>
        <w:rPr/>
        <w:t>(i)          deleting the name of such subsection in its entirety and restating it as follows:</w:t>
      </w:r>
    </w:p>
    <w:p>
      <w:pPr>
        <w:pStyle w:val="TextBody"/>
        <w:spacing w:before="0" w:after="0"/>
        <w:rPr/>
      </w:pPr>
      <w:r>
        <w:rPr/>
        <w:t> </w:t>
      </w:r>
    </w:p>
    <w:p>
      <w:pPr>
        <w:pStyle w:val="TextBody"/>
        <w:spacing w:before="0" w:after="0"/>
        <w:ind w:left="2160" w:right="0" w:hanging="0"/>
        <w:rPr/>
      </w:pPr>
      <w:bookmarkStart w:id="73" w:name="zh_Taxes_Additional_Costs_Increased_"/>
      <w:bookmarkEnd w:id="73"/>
      <w:r>
        <w:rPr/>
        <w:t>“</w:t>
      </w:r>
      <w:r>
        <w:rPr/>
        <w:t xml:space="preserve">(h)       </w:t>
      </w:r>
      <w:r>
        <w:rPr>
          <w:u w:val="single"/>
        </w:rPr>
        <w:t>Taxes; Additional Costs; Increased Costs; Inability to Determine Rates;</w:t>
      </w:r>
      <w:r>
        <w:rPr/>
        <w:t> </w:t>
      </w:r>
      <w:r>
        <w:rPr>
          <w:u w:val="single"/>
        </w:rPr>
        <w:t>Illegality.</w:t>
      </w:r>
      <w:r>
        <w:rPr/>
        <w:t>”</w:t>
      </w:r>
    </w:p>
    <w:p>
      <w:pPr>
        <w:pStyle w:val="TextBody"/>
        <w:spacing w:before="0" w:after="0"/>
        <w:rPr/>
      </w:pPr>
      <w:r>
        <w:rPr/>
        <w:t> </w:t>
      </w:r>
    </w:p>
    <w:p>
      <w:pPr>
        <w:pStyle w:val="TextBody"/>
        <w:spacing w:before="0" w:after="0"/>
        <w:ind w:left="1440" w:right="0" w:firstLine="720"/>
        <w:rPr/>
      </w:pPr>
      <w:bookmarkStart w:id="74" w:name="zii_adding_the_following_new_clause_x"/>
      <w:bookmarkEnd w:id="74"/>
      <w:r>
        <w:rPr/>
        <w:t>(ii)        adding the following new clause (x) in the appropriate numerical order therein:</w:t>
      </w:r>
    </w:p>
    <w:p>
      <w:pPr>
        <w:pStyle w:val="TextBody"/>
        <w:spacing w:before="0" w:after="0"/>
        <w:rPr/>
      </w:pPr>
      <w:r>
        <w:rPr/>
        <w:t> </w:t>
      </w:r>
    </w:p>
    <w:p>
      <w:pPr>
        <w:pStyle w:val="TextBody"/>
        <w:spacing w:before="0" w:after="0"/>
        <w:ind w:left="2160" w:right="0" w:hanging="0"/>
        <w:jc w:val="both"/>
        <w:rPr/>
      </w:pPr>
      <w:bookmarkStart w:id="75" w:name="zx_If_any_Lender_shall_reasonably_dete"/>
      <w:bookmarkEnd w:id="75"/>
      <w:r>
        <w:rPr/>
        <w:t>“</w:t>
      </w:r>
      <w:r>
        <w:rPr/>
        <w:t>(x)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2.6); or (iii) impose on any Lender any other condition, cost or expense affecting this Agreement or SOFR Loans made by such Lender, and the result of any of the foregoing shall be to increase the  cost to such Lender of making or maintaining any Credit Extension the interest on which is determined by reference to Term SOFR (or of maintaining its obligation to make any such Credit Extension), or to reduce the amount of any sum received or receivable by such Lender (whether of principal, interest or any other amount) then, upon request of such Lender, the Borrower will pay to such Lender such additional amount or amounts as will compensate such Lender for such additional costs incurred or reduction suffered.”</w:t>
      </w:r>
    </w:p>
    <w:p>
      <w:pPr>
        <w:pStyle w:val="Normal"/>
        <w:spacing w:before="0" w:after="0"/>
        <w:rPr>
          <w:sz w:val="4"/>
          <w:szCs w:val="4"/>
        </w:rPr>
      </w:pPr>
      <w:r>
        <w:rPr>
          <w:sz w:val="4"/>
          <w:szCs w:val="4"/>
        </w:rPr>
      </w:r>
      <w:bookmarkStart w:id="76" w:name="z624a8f14587041f1b6a4212ebdada68b"/>
      <w:bookmarkStart w:id="77" w:name="z624a8f14587041f1b6a4212ebdada68b"/>
      <w:bookmarkEnd w:id="77"/>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2</w:t>
            </w:r>
          </w:p>
        </w:tc>
      </w:tr>
    </w:tbl>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78" w:name="z4e64be7215004a42b3ea7196d5bae6c7"/>
      <w:bookmarkStart w:id="79" w:name="z4e64be7215004a42b3ea7196d5bae6c7"/>
      <w:bookmarkEnd w:id="79"/>
    </w:p>
    <w:tbl>
      <w:tblPr>
        <w:tblW w:w="5958" w:type="dxa"/>
        <w:jc w:val="left"/>
        <w:tblInd w:w="0" w:type="dxa"/>
        <w:tblCellMar>
          <w:top w:w="0" w:type="dxa"/>
          <w:left w:w="0" w:type="dxa"/>
          <w:bottom w:w="0" w:type="dxa"/>
          <w:right w:w="0" w:type="dxa"/>
        </w:tblCellMar>
      </w:tblPr>
      <w:tblGrid>
        <w:gridCol w:w="38"/>
        <w:gridCol w:w="350"/>
        <w:gridCol w:w="5570"/>
      </w:tblGrid>
      <w:tr>
        <w:trPr/>
        <w:tc>
          <w:tcPr>
            <w:tcW w:w="38" w:type="dxa"/>
            <w:tcBorders/>
            <w:shd w:fill="auto" w:val="clear"/>
            <w:vAlign w:val="center"/>
          </w:tcPr>
          <w:p>
            <w:pPr>
              <w:pStyle w:val="TableContents"/>
              <w:spacing w:before="0" w:after="283"/>
              <w:rPr/>
            </w:pPr>
            <w:r>
              <w:rPr/>
            </w:r>
          </w:p>
        </w:tc>
        <w:tc>
          <w:tcPr>
            <w:tcW w:w="350" w:type="dxa"/>
            <w:tcBorders/>
            <w:shd w:fill="auto" w:val="clear"/>
            <w:vAlign w:val="center"/>
          </w:tcPr>
          <w:p>
            <w:pPr>
              <w:pStyle w:val="TableContents"/>
              <w:spacing w:before="0" w:after="283"/>
              <w:rPr/>
            </w:pPr>
            <w:bookmarkStart w:id="80" w:name="ziii_renumbering_the_existing_clause_x"/>
            <w:bookmarkEnd w:id="80"/>
            <w:r>
              <w:rPr/>
              <w:t>(iii)</w:t>
            </w:r>
          </w:p>
        </w:tc>
        <w:tc>
          <w:tcPr>
            <w:tcW w:w="5570" w:type="dxa"/>
            <w:tcBorders/>
            <w:shd w:fill="auto" w:val="clear"/>
            <w:vAlign w:val="center"/>
          </w:tcPr>
          <w:p>
            <w:pPr>
              <w:pStyle w:val="TableContents"/>
              <w:spacing w:before="0" w:after="0"/>
              <w:rPr/>
            </w:pPr>
            <w:r>
              <w:rPr/>
              <w:t>renumbering the existing clause (x) as new clause (xi); and</w:t>
            </w:r>
          </w:p>
        </w:tc>
      </w:tr>
    </w:tbl>
    <w:p>
      <w:pPr>
        <w:pStyle w:val="TextBody"/>
        <w:spacing w:before="0" w:after="0"/>
        <w:rPr/>
      </w:pPr>
      <w:r>
        <w:rPr/>
        <w:t> </w:t>
      </w:r>
    </w:p>
    <w:p>
      <w:pPr>
        <w:pStyle w:val="Normal"/>
        <w:spacing w:before="0" w:after="0"/>
        <w:rPr>
          <w:sz w:val="4"/>
          <w:szCs w:val="4"/>
        </w:rPr>
      </w:pPr>
      <w:r>
        <w:rPr>
          <w:sz w:val="4"/>
          <w:szCs w:val="4"/>
        </w:rPr>
      </w:r>
      <w:bookmarkStart w:id="81" w:name="z0f074f7c08cf4d4aa611b24a1e2b72ad"/>
      <w:bookmarkStart w:id="82" w:name="z0f074f7c08cf4d4aa611b24a1e2b72ad"/>
      <w:bookmarkEnd w:id="82"/>
    </w:p>
    <w:tbl>
      <w:tblPr>
        <w:tblW w:w="5673" w:type="dxa"/>
        <w:jc w:val="left"/>
        <w:tblInd w:w="0" w:type="dxa"/>
        <w:tblCellMar>
          <w:top w:w="0" w:type="dxa"/>
          <w:left w:w="0" w:type="dxa"/>
          <w:bottom w:w="0" w:type="dxa"/>
          <w:right w:w="0" w:type="dxa"/>
        </w:tblCellMar>
      </w:tblPr>
      <w:tblGrid>
        <w:gridCol w:w="38"/>
        <w:gridCol w:w="350"/>
        <w:gridCol w:w="5285"/>
      </w:tblGrid>
      <w:tr>
        <w:trPr/>
        <w:tc>
          <w:tcPr>
            <w:tcW w:w="38" w:type="dxa"/>
            <w:tcBorders/>
            <w:shd w:fill="auto" w:val="clear"/>
            <w:vAlign w:val="center"/>
          </w:tcPr>
          <w:p>
            <w:pPr>
              <w:pStyle w:val="TableContents"/>
              <w:spacing w:before="0" w:after="283"/>
              <w:rPr/>
            </w:pPr>
            <w:r>
              <w:rPr/>
            </w:r>
          </w:p>
        </w:tc>
        <w:tc>
          <w:tcPr>
            <w:tcW w:w="350" w:type="dxa"/>
            <w:tcBorders/>
            <w:shd w:fill="auto" w:val="clear"/>
            <w:vAlign w:val="center"/>
          </w:tcPr>
          <w:p>
            <w:pPr>
              <w:pStyle w:val="TableContents"/>
              <w:spacing w:before="0" w:after="283"/>
              <w:rPr/>
            </w:pPr>
            <w:bookmarkStart w:id="83" w:name="ziv_renumbering_the_existing_clause_xi"/>
            <w:bookmarkEnd w:id="83"/>
            <w:r>
              <w:rPr/>
              <w:t>(iv)</w:t>
            </w:r>
          </w:p>
        </w:tc>
        <w:tc>
          <w:tcPr>
            <w:tcW w:w="5285" w:type="dxa"/>
            <w:tcBorders/>
            <w:shd w:fill="auto" w:val="clear"/>
            <w:vAlign w:val="center"/>
          </w:tcPr>
          <w:p>
            <w:pPr>
              <w:pStyle w:val="TableContents"/>
              <w:spacing w:before="0" w:after="0"/>
              <w:rPr/>
            </w:pPr>
            <w:r>
              <w:rPr/>
              <w:t>renumbering the existing clause (xi) as new clause (xii).</w:t>
            </w:r>
          </w:p>
        </w:tc>
      </w:tr>
    </w:tbl>
    <w:p>
      <w:pPr>
        <w:pStyle w:val="TextBody"/>
        <w:spacing w:before="0" w:after="0"/>
        <w:rPr/>
      </w:pPr>
      <w:r>
        <w:rPr/>
      </w:r>
    </w:p>
    <w:p>
      <w:pPr>
        <w:pStyle w:val="TextBody"/>
        <w:spacing w:before="0" w:after="0"/>
        <w:ind w:left="720" w:right="0" w:firstLine="720"/>
        <w:rPr/>
      </w:pPr>
      <w:bookmarkStart w:id="84" w:name="zc_Section_2.7_of_the_Existing_Credit_A"/>
      <w:bookmarkEnd w:id="84"/>
      <w:r>
        <w:rPr/>
        <w:t>(c)          Section 2.7 of the Existing Credit Agreement is hereby amended by renumbering such existing Section 2.7 as new Section 2.8.</w:t>
      </w:r>
    </w:p>
    <w:p>
      <w:pPr>
        <w:pStyle w:val="TextBody"/>
        <w:spacing w:before="0" w:after="0"/>
        <w:rPr/>
      </w:pPr>
      <w:r>
        <w:rPr/>
      </w:r>
    </w:p>
    <w:p>
      <w:pPr>
        <w:pStyle w:val="TextBody"/>
        <w:spacing w:before="0" w:after="0"/>
        <w:ind w:left="720" w:right="0" w:firstLine="720"/>
        <w:rPr/>
      </w:pPr>
      <w:bookmarkStart w:id="85" w:name="zd_The_Existing_Credit_Agreement_is_her"/>
      <w:bookmarkEnd w:id="85"/>
      <w:r>
        <w:rPr/>
        <w:t>(d)          The Existing Credit Agreement is hereby amended by adding the following as a new Section 2.7:</w:t>
      </w:r>
    </w:p>
    <w:p>
      <w:pPr>
        <w:pStyle w:val="TextBody"/>
        <w:spacing w:before="0" w:after="0"/>
        <w:rPr/>
      </w:pPr>
      <w:r>
        <w:rPr/>
        <w:t> </w:t>
      </w:r>
    </w:p>
    <w:p>
      <w:pPr>
        <w:pStyle w:val="TextBody"/>
        <w:spacing w:before="0" w:after="0"/>
        <w:ind w:left="2160" w:right="0" w:hanging="0"/>
        <w:rPr/>
      </w:pPr>
      <w:bookmarkStart w:id="86" w:name="z2.7_Benchmark_Replacement_Setting_Conf"/>
      <w:bookmarkEnd w:id="86"/>
      <w:r>
        <w:rPr/>
        <w:t>“</w:t>
      </w:r>
      <w:r>
        <w:rPr/>
        <w:t xml:space="preserve">2.7       </w:t>
      </w:r>
      <w:r>
        <w:rPr>
          <w:u w:val="single"/>
        </w:rPr>
        <w:t>Benchmark Replacement Setting; Conforming Changes.</w:t>
      </w:r>
    </w:p>
    <w:p>
      <w:pPr>
        <w:pStyle w:val="TextBody"/>
        <w:spacing w:before="0" w:after="0"/>
        <w:rPr/>
      </w:pPr>
      <w:r>
        <w:rPr/>
        <w:t> </w:t>
      </w:r>
    </w:p>
    <w:p>
      <w:pPr>
        <w:pStyle w:val="TextBody"/>
        <w:spacing w:before="0" w:after="0"/>
        <w:ind w:left="1440" w:right="0" w:firstLine="720"/>
        <w:jc w:val="both"/>
        <w:rPr/>
      </w:pPr>
      <w:bookmarkStart w:id="87" w:name="za_Upon_the_occurrence_of_a_Benchmark_T"/>
      <w:bookmarkEnd w:id="87"/>
      <w:r>
        <w:rPr/>
        <w:t>(a)         Upon the occurrence of a Benchmark Transition Event, Agent and Borrowers may (and shall work in good faith to)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and the Lenders of the implementation of any Benchmark Replacement and the effectiveness of any Conforming Changes.</w:t>
      </w:r>
    </w:p>
    <w:p>
      <w:pPr>
        <w:pStyle w:val="TextBody"/>
        <w:spacing w:before="0" w:after="0"/>
        <w:rPr/>
      </w:pPr>
      <w:r>
        <w:rPr/>
        <w:t> </w:t>
      </w:r>
    </w:p>
    <w:p>
      <w:pPr>
        <w:pStyle w:val="TextBody"/>
        <w:spacing w:before="0" w:after="0"/>
        <w:ind w:left="1440" w:right="0" w:firstLine="720"/>
        <w:jc w:val="both"/>
        <w:rPr/>
      </w:pPr>
      <w:bookmarkStart w:id="88" w:name="zb_Any_determination_decision_or_elect"/>
      <w:bookmarkEnd w:id="88"/>
      <w:r>
        <w:rPr/>
        <w:t>(b)        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“Applicable Interest Period” (or any similar or analogous definition) for any Benchmark settings at or after such time to remove such unavailable or non- representative tenor, and (b) if a tenor that was removed pursuant to clause (a) above either (i) is subsequently displayed on a screen or information service for a Benchmark or (ii) is not, or is no longer, subject to an announcement that it is or will no longer be representative for a Benchmark, then Agent may modify the definition of “Applicable Interest Period” (or any similar or analogous definition) for all Benchmark settings at or after such time to reinstate such previously removed tenor. Agent will promptly notify Borrower of the removal or reinstatement of any tenor of a Benchmark pursuant to this Section.</w:t>
      </w:r>
    </w:p>
    <w:p>
      <w:pPr>
        <w:pStyle w:val="TextBody"/>
        <w:spacing w:before="0" w:after="0"/>
        <w:rPr/>
      </w:pPr>
      <w:r>
        <w:rPr/>
        <w:t> </w:t>
      </w:r>
    </w:p>
    <w:p>
      <w:pPr>
        <w:pStyle w:val="Normal"/>
        <w:spacing w:before="0" w:after="0"/>
        <w:rPr>
          <w:sz w:val="4"/>
          <w:szCs w:val="4"/>
        </w:rPr>
      </w:pPr>
      <w:r>
        <w:rPr>
          <w:sz w:val="4"/>
          <w:szCs w:val="4"/>
        </w:rPr>
      </w:r>
      <w:bookmarkStart w:id="89" w:name="zb9d1edf06f09436e80f00e658c9e6ea0"/>
      <w:bookmarkStart w:id="90" w:name="zb9d1edf06f09436e80f00e658c9e6ea0"/>
      <w:bookmarkEnd w:id="90"/>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3</w:t>
            </w:r>
          </w:p>
        </w:tc>
      </w:tr>
    </w:tbl>
    <w:p>
      <w:pPr>
        <w:pStyle w:val="HorizontalLine"/>
        <w:pBdr>
          <w:bottom w:val="single" w:sz="20" w:space="0" w:color="808080"/>
        </w:pBdr>
        <w:spacing w:before="200" w:after="200"/>
        <w:rPr/>
      </w:pPr>
      <w:r>
        <w:rPr/>
      </w:r>
    </w:p>
    <w:p>
      <w:pPr>
        <w:pStyle w:val="TextBody"/>
        <w:spacing w:before="0" w:after="0"/>
        <w:ind w:left="1440" w:right="0" w:firstLine="720"/>
        <w:jc w:val="both"/>
        <w:rPr/>
      </w:pPr>
      <w:r>
        <w:rPr/>
        <w:t>(c)       Upon Borrower’s receipt of notice of the commencement of a Benchmark Unavailability Period, the Applicable Index Rate for any outstanding affected Credit Extensions will be deemed to be the Applicable Prime Rate at the end of the Applicable Interest Period.</w:t>
      </w:r>
    </w:p>
    <w:p>
      <w:pPr>
        <w:pStyle w:val="TextBody"/>
        <w:spacing w:before="0" w:after="0"/>
        <w:rPr/>
      </w:pPr>
      <w:r>
        <w:rPr/>
        <w:t> </w:t>
      </w:r>
    </w:p>
    <w:p>
      <w:pPr>
        <w:pStyle w:val="TextBody"/>
        <w:spacing w:before="0" w:after="0"/>
        <w:ind w:left="720" w:right="0" w:firstLine="720"/>
        <w:rPr/>
      </w:pPr>
      <w:bookmarkStart w:id="91" w:name="ze_New_Definitions.__Section_15_of_the_"/>
      <w:bookmarkEnd w:id="91"/>
      <w:r>
        <w:rPr/>
        <w:t xml:space="preserve">(e)          </w:t>
      </w:r>
      <w:r>
        <w:rPr>
          <w:u w:val="single"/>
        </w:rPr>
        <w:t>New Definitions</w:t>
      </w:r>
      <w:r>
        <w:rPr/>
        <w:t>.   Section 15 of the Existing Credit Agreement is hereby amended by adding the following definitions in the appropriate alphabetical order therein:</w:t>
      </w:r>
    </w:p>
    <w:p>
      <w:pPr>
        <w:pStyle w:val="TextBody"/>
        <w:spacing w:before="0" w:after="0"/>
        <w:rPr/>
      </w:pPr>
      <w:r>
        <w:rPr/>
        <w:t> </w:t>
      </w:r>
    </w:p>
    <w:p>
      <w:pPr>
        <w:pStyle w:val="TextBody"/>
        <w:spacing w:before="0" w:after="0"/>
        <w:ind w:left="1440" w:right="0" w:hanging="0"/>
        <w:jc w:val="both"/>
        <w:rPr/>
      </w:pPr>
      <w:bookmarkStart w:id="92" w:name="zApplicable_SOFR_Rate_means_with_respe"/>
      <w:bookmarkEnd w:id="92"/>
      <w:r>
        <w:rPr/>
        <w:t>“</w:t>
      </w:r>
      <w:r>
        <w:rPr>
          <w:b/>
        </w:rPr>
        <w:t>Applicable SOFR Rate</w:t>
      </w:r>
      <w:r>
        <w:rPr/>
        <w:t>” means, with respect to each day during which interest accrues on a Credit Extension, the rate per annum (expressed as a percentage) equal to (a) Term SOFR for the Applicable Interest Period for such day; or (b) if the then-current Benchmark has been replaced with a Benchmark Replacement pursuant to Section 2.7, such Benchmark Replacement for such day. Notwithstanding the foregoing, the Applicable SOFR Rate shall not at any time be less the Applicable Floor.</w:t>
      </w:r>
    </w:p>
    <w:p>
      <w:pPr>
        <w:pStyle w:val="TextBody"/>
        <w:spacing w:before="0" w:after="0"/>
        <w:ind w:left="1440" w:right="0" w:hanging="0"/>
        <w:rPr/>
      </w:pPr>
      <w:r>
        <w:rPr/>
        <w:t> </w:t>
      </w:r>
    </w:p>
    <w:p>
      <w:pPr>
        <w:pStyle w:val="TextBody"/>
        <w:spacing w:before="0" w:after="0"/>
        <w:ind w:left="1440" w:right="0" w:hanging="0"/>
        <w:jc w:val="both"/>
        <w:rPr/>
      </w:pPr>
      <w:bookmarkStart w:id="93" w:name="zAvailable_Tenor_means_as_of_any_date_"/>
      <w:bookmarkEnd w:id="93"/>
      <w:r>
        <w:rPr/>
        <w:t>“</w:t>
      </w:r>
      <w:r>
        <w:rPr>
          <w:b/>
        </w:rPr>
        <w:t>Available Tenor</w:t>
      </w:r>
      <w:r>
        <w:rPr/>
        <w:t>” means, as of any date of determination with respect to the then- 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 removed from the definition of “Applicable Interest Period” or similar term pursuant to Section 2.7.</w:t>
      </w:r>
    </w:p>
    <w:p>
      <w:pPr>
        <w:pStyle w:val="TextBody"/>
        <w:spacing w:before="0" w:after="0"/>
        <w:rPr/>
      </w:pPr>
      <w:r>
        <w:rPr/>
      </w:r>
    </w:p>
    <w:p>
      <w:pPr>
        <w:pStyle w:val="TextBody"/>
        <w:spacing w:before="0" w:after="0"/>
        <w:ind w:left="1440" w:right="0" w:hanging="0"/>
        <w:jc w:val="both"/>
        <w:rPr/>
      </w:pPr>
      <w:bookmarkStart w:id="94" w:name="zBenchmark_means_initially_Term_SOFR"/>
      <w:bookmarkEnd w:id="94"/>
      <w:r>
        <w:rPr/>
        <w:t>“</w:t>
      </w:r>
      <w:r>
        <w:rPr>
          <w:b/>
        </w:rPr>
        <w:t>Benchmark</w:t>
      </w:r>
      <w:r>
        <w:rPr/>
        <w:t xml:space="preserve">” means, initially, Term SOFR; </w:t>
      </w:r>
      <w:r>
        <w:rPr>
          <w:i/>
        </w:rPr>
        <w:t xml:space="preserve">provided </w:t>
      </w:r>
      <w:r>
        <w:rPr/>
        <w:t>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2.7.</w:t>
      </w:r>
    </w:p>
    <w:p>
      <w:pPr>
        <w:pStyle w:val="TextBody"/>
        <w:spacing w:before="0" w:after="0"/>
        <w:ind w:left="1440" w:right="0" w:hanging="0"/>
        <w:rPr/>
      </w:pPr>
      <w:r>
        <w:rPr/>
        <w:t> </w:t>
      </w:r>
    </w:p>
    <w:p>
      <w:pPr>
        <w:pStyle w:val="TextBody"/>
        <w:spacing w:before="0" w:after="0"/>
        <w:ind w:left="1440" w:right="0" w:hanging="0"/>
        <w:jc w:val="both"/>
        <w:rPr/>
      </w:pPr>
      <w:bookmarkStart w:id="95" w:name="zBenchmark_Replacement_means_with_resp"/>
      <w:bookmarkEnd w:id="95"/>
      <w:r>
        <w:rPr/>
        <w:t>“</w:t>
      </w:r>
      <w:r>
        <w:rPr>
          <w:b/>
        </w:rPr>
        <w:t>Benchmark Replacement</w:t>
      </w:r>
      <w:r>
        <w:rPr/>
        <w:t xml:space="preserve">” means, with respect to any Benchmark Transition Event, the sum of: (a) the alternate benchmark rate that has been selected by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i/>
        </w:rPr>
        <w:t xml:space="preserve">provided </w:t>
      </w:r>
      <w:r>
        <w:rPr/>
        <w:t>that, if such Benchmark Replacement as so determined would be less than the Applicable Floor, such Benchmark Replacement will be deemed to be the Applicable Floor for the purposes of this Agreement and the other Financing Documents.</w:t>
      </w:r>
    </w:p>
    <w:p>
      <w:pPr>
        <w:pStyle w:val="TextBody"/>
        <w:spacing w:before="0" w:after="0"/>
        <w:ind w:left="1440" w:right="0" w:hanging="0"/>
        <w:rPr/>
      </w:pPr>
      <w:r>
        <w:rPr/>
        <w:t> </w:t>
      </w:r>
    </w:p>
    <w:p>
      <w:pPr>
        <w:pStyle w:val="TextBody"/>
        <w:spacing w:before="0" w:after="0"/>
        <w:ind w:left="1440" w:right="0" w:hanging="0"/>
        <w:jc w:val="both"/>
        <w:rPr/>
      </w:pPr>
      <w:bookmarkStart w:id="96" w:name="zBenchmark_Replacement_Adjustment_means"/>
      <w:bookmarkEnd w:id="96"/>
      <w:r>
        <w:rPr/>
        <w:t>“</w:t>
      </w:r>
      <w:r>
        <w:rPr>
          <w:b/>
        </w:rPr>
        <w:t>Benchmark Replacement Adjustment</w:t>
      </w:r>
      <w:r>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 at such time.</w:t>
      </w:r>
    </w:p>
    <w:p>
      <w:pPr>
        <w:pStyle w:val="TextBody"/>
        <w:spacing w:before="0" w:after="0"/>
        <w:jc w:val="both"/>
        <w:rPr/>
      </w:pPr>
      <w:r>
        <w:rPr/>
      </w:r>
    </w:p>
    <w:p>
      <w:pPr>
        <w:pStyle w:val="Normal"/>
        <w:spacing w:before="0" w:after="0"/>
        <w:rPr>
          <w:sz w:val="4"/>
          <w:szCs w:val="4"/>
        </w:rPr>
      </w:pPr>
      <w:r>
        <w:rPr>
          <w:sz w:val="4"/>
          <w:szCs w:val="4"/>
        </w:rPr>
      </w:r>
      <w:bookmarkStart w:id="97" w:name="z75a7f2188c6546909fb9df2411a47119"/>
      <w:bookmarkStart w:id="98" w:name="z75a7f2188c6546909fb9df2411a47119"/>
      <w:bookmarkEnd w:id="98"/>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4</w:t>
            </w:r>
          </w:p>
        </w:tc>
      </w:tr>
    </w:tbl>
    <w:p>
      <w:pPr>
        <w:pStyle w:val="HorizontalLine"/>
        <w:pBdr>
          <w:bottom w:val="single" w:sz="20" w:space="0" w:color="808080"/>
        </w:pBdr>
        <w:spacing w:before="200" w:after="200"/>
        <w:rPr/>
      </w:pPr>
      <w:r>
        <w:rPr/>
      </w:r>
    </w:p>
    <w:p>
      <w:pPr>
        <w:pStyle w:val="TextBody"/>
        <w:spacing w:before="0" w:after="0"/>
        <w:ind w:left="1440" w:right="0" w:hanging="0"/>
        <w:jc w:val="both"/>
        <w:rPr/>
      </w:pPr>
      <w:bookmarkStart w:id="99" w:name="zBenchmark_Replacement_Date_means_the_e"/>
      <w:bookmarkEnd w:id="99"/>
      <w:r>
        <w:rPr/>
        <w:t>“</w:t>
      </w:r>
      <w:r>
        <w:rPr>
          <w:b/>
        </w:rPr>
        <w:t>Benchmark Replacement Date</w:t>
      </w:r>
      <w:r>
        <w:rPr/>
        <w:t>” 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spacing w:before="0" w:after="0"/>
        <w:rPr/>
      </w:pPr>
      <w:r>
        <w:rPr/>
      </w:r>
    </w:p>
    <w:p>
      <w:pPr>
        <w:pStyle w:val="TextBody"/>
        <w:spacing w:before="0" w:after="0"/>
        <w:ind w:left="1440" w:right="0" w:hanging="0"/>
        <w:jc w:val="both"/>
        <w:rPr/>
      </w:pPr>
      <w:bookmarkStart w:id="100" w:name="zBenchmark_Transition_Event_means_the_o"/>
      <w:bookmarkEnd w:id="100"/>
      <w:r>
        <w:rPr/>
        <w:t>“</w:t>
      </w:r>
      <w:r>
        <w:rPr>
          <w:b/>
        </w:rPr>
        <w:t>Benchmark Transition Event</w:t>
      </w:r>
      <w:r>
        <w:rPr/>
        <w:t xml:space="preserve">”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w:t>
      </w:r>
      <w:r>
        <w:rPr>
          <w:i/>
        </w:rPr>
        <w:t xml:space="preserve">provided </w:t>
      </w:r>
      <w:r>
        <w:rPr/>
        <w:t>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spacing w:before="0" w:after="0"/>
        <w:rPr/>
      </w:pPr>
      <w:r>
        <w:rPr/>
      </w:r>
    </w:p>
    <w:p>
      <w:pPr>
        <w:pStyle w:val="TextBody"/>
        <w:spacing w:before="0" w:after="0"/>
        <w:ind w:left="1440" w:right="0" w:hanging="0"/>
        <w:jc w:val="both"/>
        <w:rPr/>
      </w:pPr>
      <w:bookmarkStart w:id="101" w:name="zBenchmark_Transition_Start_Date_means"/>
      <w:bookmarkEnd w:id="101"/>
      <w:r>
        <w:rPr/>
        <w:t>“</w:t>
      </w:r>
      <w:r>
        <w:rPr>
          <w:b/>
        </w:rPr>
        <w:t>Benchmark Transition Start Date</w:t>
      </w:r>
      <w:r>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spacing w:before="0" w:after="0"/>
        <w:jc w:val="both"/>
        <w:rPr/>
      </w:pPr>
      <w:r>
        <w:rPr/>
      </w:r>
    </w:p>
    <w:p>
      <w:pPr>
        <w:pStyle w:val="Normal"/>
        <w:spacing w:before="0" w:after="0"/>
        <w:rPr>
          <w:sz w:val="4"/>
          <w:szCs w:val="4"/>
        </w:rPr>
      </w:pPr>
      <w:r>
        <w:rPr>
          <w:sz w:val="4"/>
          <w:szCs w:val="4"/>
        </w:rPr>
      </w:r>
      <w:bookmarkStart w:id="102" w:name="z797056bf8ded440f944a68c09de641d4"/>
      <w:bookmarkStart w:id="103" w:name="z797056bf8ded440f944a68c09de641d4"/>
      <w:bookmarkEnd w:id="103"/>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5</w:t>
            </w:r>
          </w:p>
        </w:tc>
      </w:tr>
    </w:tbl>
    <w:p>
      <w:pPr>
        <w:pStyle w:val="HorizontalLine"/>
        <w:pBdr>
          <w:bottom w:val="single" w:sz="20" w:space="0" w:color="808080"/>
        </w:pBdr>
        <w:spacing w:before="200" w:after="200"/>
        <w:rPr/>
      </w:pPr>
      <w:r>
        <w:rPr/>
      </w:r>
    </w:p>
    <w:p>
      <w:pPr>
        <w:pStyle w:val="TextBody"/>
        <w:spacing w:before="0" w:after="0"/>
        <w:ind w:left="1440" w:right="0" w:hanging="0"/>
        <w:jc w:val="both"/>
        <w:rPr/>
      </w:pPr>
      <w:bookmarkStart w:id="104" w:name="zBenchmark_Unavailability_Period_means_"/>
      <w:bookmarkEnd w:id="104"/>
      <w:r>
        <w:rPr/>
        <w:t>“</w:t>
      </w:r>
      <w:r>
        <w:rPr>
          <w:b/>
        </w:rPr>
        <w:t>Benchmark Unavailability Period</w:t>
      </w:r>
      <w:r>
        <w:rPr/>
        <w:t>” 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 with Section 2.7 and (b) ending at the time that a Benchmark Replacement has replaced the then-current Benchmark for all purposes hereunder and under any Financing Document in accordance with Section 2.7.</w:t>
      </w:r>
    </w:p>
    <w:p>
      <w:pPr>
        <w:pStyle w:val="TextBody"/>
        <w:spacing w:before="0" w:after="0"/>
        <w:ind w:left="1440" w:right="0" w:hanging="0"/>
        <w:rPr/>
      </w:pPr>
      <w:r>
        <w:rPr/>
        <w:t> </w:t>
      </w:r>
    </w:p>
    <w:p>
      <w:pPr>
        <w:pStyle w:val="TextBody"/>
        <w:spacing w:before="0" w:after="0"/>
        <w:ind w:left="1440" w:right="0" w:hanging="0"/>
        <w:jc w:val="both"/>
        <w:rPr/>
      </w:pPr>
      <w:bookmarkStart w:id="105" w:name="zConforming_Changes_means_with_respect"/>
      <w:bookmarkEnd w:id="105"/>
      <w:r>
        <w:rPr/>
        <w:t>“</w:t>
      </w:r>
      <w:r>
        <w:rPr>
          <w:b/>
        </w:rPr>
        <w:t>Conforming Changes</w:t>
      </w:r>
      <w:r>
        <w:rPr/>
        <w:t>” means, with respect to either the use or administration of Term SOFR or the use, administration, adoption or implementation of any Benchmark Replacement, any technical, administrative or operational changes (including (a) changes to the definition of “Applicable Interest Period”, “Base Rate Index”, “Business Day”, “Reference Time” or other definitions, (b) the addition of concepts such as “interest period”, (c) changes to timing and/or frequency of determining rates, making interest payments, giving borrowing requests, prepayment, conversion or continuation notices, or length of lookback periods, (d) the applicability of Section 2.6(h), and (e) other technical, administrative or operational matters) that Agent decides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pStyle w:val="TextBody"/>
        <w:spacing w:before="0" w:after="0"/>
        <w:ind w:left="1440" w:right="0" w:hanging="0"/>
        <w:rPr/>
      </w:pPr>
      <w:r>
        <w:rPr/>
        <w:t> </w:t>
      </w:r>
    </w:p>
    <w:p>
      <w:pPr>
        <w:pStyle w:val="TextBody"/>
        <w:spacing w:before="0" w:after="0"/>
        <w:ind w:left="1440" w:right="0" w:hanging="0"/>
        <w:jc w:val="both"/>
        <w:rPr/>
      </w:pPr>
      <w:bookmarkStart w:id="106" w:name="zReference_Time_means_approximately_a_t"/>
      <w:bookmarkEnd w:id="106"/>
      <w:r>
        <w:rPr/>
        <w:t>“</w:t>
      </w:r>
      <w:r>
        <w:rPr>
          <w:b/>
        </w:rPr>
        <w:t>Reference Time</w:t>
      </w:r>
      <w:r>
        <w:rPr/>
        <w:t xml:space="preserve">” 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w:t>
      </w:r>
      <w:r>
        <w:rPr>
          <w:i/>
        </w:rPr>
        <w:t xml:space="preserve">provided </w:t>
      </w:r>
      <w:r>
        <w:rPr/>
        <w:t>that such first preceding SOFR Business Day is not more than three (3) SOFR Business Days prior to such interest lookback day.</w:t>
      </w:r>
    </w:p>
    <w:p>
      <w:pPr>
        <w:pStyle w:val="TextBody"/>
        <w:spacing w:before="0" w:after="0"/>
        <w:ind w:left="1440" w:right="0" w:hanging="0"/>
        <w:rPr/>
      </w:pPr>
      <w:r>
        <w:rPr/>
        <w:t> </w:t>
      </w:r>
    </w:p>
    <w:p>
      <w:pPr>
        <w:pStyle w:val="TextBody"/>
        <w:spacing w:before="0" w:after="0"/>
        <w:ind w:left="1440" w:right="0" w:hanging="0"/>
        <w:jc w:val="both"/>
        <w:rPr/>
      </w:pPr>
      <w:bookmarkStart w:id="107" w:name="zRelevant_Governmental_Body_means_the_F"/>
      <w:bookmarkEnd w:id="107"/>
      <w:r>
        <w:rPr/>
        <w:t>“</w:t>
      </w:r>
      <w:r>
        <w:rPr>
          <w:b/>
        </w:rPr>
        <w:t>Relevant Governmental Body</w:t>
      </w:r>
      <w:r>
        <w:rPr/>
        <w:t>” means the Federal Reserve Board and/or the Federal Reserve Bank of New York, or a committee officially endorsed or convened by the Federal Reserve Board and/or the Federal Reserve Bank of New York or any successor thereto.</w:t>
      </w:r>
    </w:p>
    <w:p>
      <w:pPr>
        <w:pStyle w:val="TextBody"/>
        <w:spacing w:before="0" w:after="0"/>
        <w:ind w:left="1440" w:right="0" w:hanging="0"/>
        <w:rPr/>
      </w:pPr>
      <w:r>
        <w:rPr/>
        <w:t> </w:t>
      </w:r>
    </w:p>
    <w:p>
      <w:pPr>
        <w:pStyle w:val="TextBody"/>
        <w:spacing w:before="0" w:after="0"/>
        <w:ind w:left="1440" w:right="0" w:hanging="0"/>
        <w:jc w:val="both"/>
        <w:rPr/>
      </w:pPr>
      <w:bookmarkStart w:id="108" w:name="zSecond_Amendment_means_that_certain_Am"/>
      <w:bookmarkEnd w:id="108"/>
      <w:r>
        <w:rPr/>
        <w:t>“</w:t>
      </w:r>
      <w:r>
        <w:rPr>
          <w:b/>
        </w:rPr>
        <w:t>Second Amendment</w:t>
      </w:r>
      <w:r>
        <w:rPr/>
        <w:t>” means that certain Amendment No. 2 to Credit and Security Agreement, dated as of September 6, 2022, by and among Borrowers, Agent and the Lenders party thereto.</w:t>
      </w:r>
    </w:p>
    <w:p>
      <w:pPr>
        <w:pStyle w:val="TextBody"/>
        <w:spacing w:before="0" w:after="0"/>
        <w:rPr/>
      </w:pPr>
      <w:r>
        <w:rPr/>
      </w:r>
    </w:p>
    <w:p>
      <w:pPr>
        <w:pStyle w:val="TextBody"/>
        <w:spacing w:before="0" w:after="0"/>
        <w:ind w:left="1440" w:right="0" w:hanging="0"/>
        <w:jc w:val="both"/>
        <w:rPr/>
      </w:pPr>
      <w:bookmarkStart w:id="109" w:name="zSOFR_means_with_respect_to_any_SOFR_B"/>
      <w:bookmarkEnd w:id="109"/>
      <w:r>
        <w:rPr/>
        <w:t>“</w:t>
      </w:r>
      <w:r>
        <w:rPr>
          <w:b/>
        </w:rPr>
        <w:t>SOFR</w:t>
      </w:r>
      <w:r>
        <w:rPr/>
        <w:t>” means, with respect to any SOFR Business Day, a rate per annum equal to the secured overnight financing rate for such SOFR Business Day.</w:t>
      </w:r>
    </w:p>
    <w:p>
      <w:pPr>
        <w:pStyle w:val="TextBody"/>
        <w:spacing w:before="0" w:after="0"/>
        <w:ind w:left="1440" w:right="0" w:hanging="0"/>
        <w:rPr/>
      </w:pPr>
      <w:r>
        <w:rPr/>
        <w:t> </w:t>
      </w:r>
    </w:p>
    <w:p>
      <w:pPr>
        <w:pStyle w:val="TextBody"/>
        <w:ind w:left="1440" w:right="0" w:hanging="0"/>
        <w:jc w:val="both"/>
        <w:rPr/>
      </w:pPr>
      <w:bookmarkStart w:id="110" w:name="zSOFR_Administrator_means_CME_Group_Ben"/>
      <w:bookmarkEnd w:id="110"/>
      <w:r>
        <w:rPr/>
        <w:t>“</w:t>
      </w:r>
      <w:r>
        <w:rPr>
          <w:b/>
        </w:rPr>
        <w:t>SOFR Administrator</w:t>
      </w:r>
      <w:r>
        <w:rPr/>
        <w:t>” means CME Group Benchmark Administration Limited (CBA) (or a successor administrator of Term SOFR selected by Agent in its reasonable discretion).</w:t>
      </w:r>
    </w:p>
    <w:p>
      <w:pPr>
        <w:pStyle w:val="Normal"/>
        <w:spacing w:before="0" w:after="0"/>
        <w:rPr>
          <w:sz w:val="4"/>
          <w:szCs w:val="4"/>
        </w:rPr>
      </w:pPr>
      <w:r>
        <w:rPr>
          <w:sz w:val="4"/>
          <w:szCs w:val="4"/>
        </w:rPr>
      </w:r>
      <w:bookmarkStart w:id="111" w:name="zfa4d984e24b44f80ae6d00304822662f"/>
      <w:bookmarkStart w:id="112" w:name="zfa4d984e24b44f80ae6d00304822662f"/>
      <w:bookmarkEnd w:id="112"/>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6</w:t>
            </w:r>
          </w:p>
        </w:tc>
      </w:tr>
    </w:tbl>
    <w:p>
      <w:pPr>
        <w:pStyle w:val="HorizontalLine"/>
        <w:pBdr>
          <w:bottom w:val="single" w:sz="20" w:space="0" w:color="808080"/>
        </w:pBdr>
        <w:spacing w:before="200" w:after="200"/>
        <w:rPr/>
      </w:pPr>
      <w:r>
        <w:rPr/>
      </w:r>
    </w:p>
    <w:p>
      <w:pPr>
        <w:pStyle w:val="TextBody"/>
        <w:spacing w:before="0" w:after="0"/>
        <w:ind w:left="1440" w:right="0" w:hanging="0"/>
        <w:jc w:val="both"/>
        <w:rPr/>
      </w:pPr>
      <w:bookmarkStart w:id="113" w:name="zSOFR_Administrators_Website_means_the"/>
      <w:bookmarkEnd w:id="113"/>
      <w:r>
        <w:rPr/>
        <w:t>“</w:t>
      </w:r>
      <w:r>
        <w:rPr>
          <w:b/>
        </w:rPr>
        <w:t>SOFR Administrator’s Website</w:t>
      </w:r>
      <w:r>
        <w:rPr/>
        <w:t>” means the website of the SOFR Administrator, currently at https://www.cmegroup.com/market-data/cme-group-benchmark- administration/term-sofr.html, or any successor source for Term SOFR identified by the SOFR Administrator from time to time.</w:t>
      </w:r>
    </w:p>
    <w:p>
      <w:pPr>
        <w:pStyle w:val="TextBody"/>
        <w:spacing w:before="0" w:after="0"/>
        <w:rPr/>
      </w:pPr>
      <w:r>
        <w:rPr/>
      </w:r>
    </w:p>
    <w:p>
      <w:pPr>
        <w:pStyle w:val="TextBody"/>
        <w:spacing w:before="0" w:after="0"/>
        <w:ind w:left="1440" w:right="0" w:hanging="0"/>
        <w:jc w:val="both"/>
        <w:rPr/>
      </w:pPr>
      <w:bookmarkStart w:id="114" w:name="zSOFR_Business_Day_means_any_day_other_"/>
      <w:bookmarkEnd w:id="114"/>
      <w:r>
        <w:rPr/>
        <w:t>“</w:t>
      </w:r>
      <w:r>
        <w:rPr>
          <w:b/>
        </w:rPr>
        <w:t>SOFR Business Day</w:t>
      </w:r>
      <w:r>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pStyle w:val="TextBody"/>
        <w:spacing w:before="0" w:after="0"/>
        <w:ind w:left="1440" w:right="0" w:hanging="0"/>
        <w:rPr/>
      </w:pPr>
      <w:r>
        <w:rPr/>
        <w:t> </w:t>
      </w:r>
    </w:p>
    <w:p>
      <w:pPr>
        <w:pStyle w:val="TextBody"/>
        <w:spacing w:before="0" w:after="0"/>
        <w:ind w:left="1440" w:right="0" w:hanging="0"/>
        <w:jc w:val="both"/>
        <w:rPr/>
      </w:pPr>
      <w:bookmarkStart w:id="115" w:name="zSOFR_Implementation_Date_means_the_fir"/>
      <w:bookmarkEnd w:id="115"/>
      <w:r>
        <w:rPr/>
        <w:t>“</w:t>
      </w:r>
      <w:r>
        <w:rPr>
          <w:b/>
        </w:rPr>
        <w:t>SOFR Implementation Date</w:t>
      </w:r>
      <w:r>
        <w:rPr/>
        <w:t>” means the first day after the end of the Applicable Interest Period during which the Second Amendment shall become effective in accordance with its terms.</w:t>
      </w:r>
    </w:p>
    <w:p>
      <w:pPr>
        <w:pStyle w:val="TextBody"/>
        <w:spacing w:before="0" w:after="0"/>
        <w:ind w:left="1440" w:right="0" w:hanging="0"/>
        <w:rPr/>
      </w:pPr>
      <w:r>
        <w:rPr/>
        <w:t> </w:t>
      </w:r>
    </w:p>
    <w:p>
      <w:pPr>
        <w:pStyle w:val="TextBody"/>
        <w:spacing w:before="0" w:after="0"/>
        <w:ind w:left="1440" w:right="0" w:hanging="0"/>
        <w:jc w:val="both"/>
        <w:rPr/>
      </w:pPr>
      <w:bookmarkStart w:id="116" w:name="zSOFR_Loan_means_a_Credit_Extension_tha"/>
      <w:bookmarkEnd w:id="116"/>
      <w:r>
        <w:rPr/>
        <w:t>“</w:t>
      </w:r>
      <w:r>
        <w:rPr>
          <w:b/>
        </w:rPr>
        <w:t>SOFR Loan</w:t>
      </w:r>
      <w:r>
        <w:rPr/>
        <w:t>” means a Credit Extension that bears interest at a rate based on Term SOFR.</w:t>
      </w:r>
    </w:p>
    <w:p>
      <w:pPr>
        <w:pStyle w:val="TextBody"/>
        <w:spacing w:before="0" w:after="0"/>
        <w:rPr/>
      </w:pPr>
      <w:r>
        <w:rPr/>
      </w:r>
    </w:p>
    <w:p>
      <w:pPr>
        <w:pStyle w:val="TextBody"/>
        <w:spacing w:before="0" w:after="0"/>
        <w:ind w:left="1440" w:right="0" w:hanging="0"/>
        <w:jc w:val="both"/>
        <w:rPr/>
      </w:pPr>
      <w:bookmarkStart w:id="117" w:name="zTerm_SOFR_means_the_greater_of_a_the"/>
      <w:bookmarkEnd w:id="117"/>
      <w:r>
        <w:rPr/>
        <w:t>“</w:t>
      </w:r>
      <w:r>
        <w:rPr>
          <w:b/>
        </w:rPr>
        <w:t>Term SOFR</w:t>
      </w:r>
      <w:r>
        <w:rPr/>
        <w:t>” means the greater of (a) the forward-looking term rate for a period comparable to such Applicable Interest Period based on SOFR that is published by the SOFR Administrator and is displayed on the SOFR Administrator’s Website at approximately the Reference Time for such Applicable Interest Period plus 0.10% and (b) the Applicable Floor. Unless otherwise specified in any amendment to this Agreement entered into in accordance with Section 2.7, in the event that a Benchmark Replacement with respect to Term SOFR is implemented, then all references herein to Term SOFR shall be deemed references to such Benchmark Replacement.</w:t>
      </w:r>
    </w:p>
    <w:p>
      <w:pPr>
        <w:pStyle w:val="TextBody"/>
        <w:spacing w:before="0" w:after="0"/>
        <w:rPr/>
      </w:pPr>
      <w:r>
        <w:rPr/>
        <w:t> </w:t>
      </w:r>
    </w:p>
    <w:p>
      <w:pPr>
        <w:pStyle w:val="TextBody"/>
        <w:spacing w:before="0" w:after="0"/>
        <w:ind w:left="1440" w:right="0" w:hanging="0"/>
        <w:jc w:val="both"/>
        <w:rPr/>
      </w:pPr>
      <w:bookmarkStart w:id="118" w:name="zUnadjusted_Benchmark_Replacement_means"/>
      <w:bookmarkEnd w:id="118"/>
      <w:r>
        <w:rPr/>
        <w:t>“</w:t>
      </w:r>
      <w:r>
        <w:rPr>
          <w:b/>
        </w:rPr>
        <w:t>Unadjusted Benchmark Replacement</w:t>
      </w:r>
      <w:r>
        <w:rPr/>
        <w:t>” means the applicable Benchmark Replacement excluding the related Benchmark Replacement Adjustment.</w:t>
      </w:r>
    </w:p>
    <w:p>
      <w:pPr>
        <w:pStyle w:val="TextBody"/>
        <w:spacing w:before="0" w:after="0"/>
        <w:rPr/>
      </w:pPr>
      <w:r>
        <w:rPr/>
        <w:t> </w:t>
      </w:r>
    </w:p>
    <w:p>
      <w:pPr>
        <w:pStyle w:val="TextBody"/>
        <w:spacing w:before="0" w:after="0"/>
        <w:ind w:left="720" w:right="0" w:firstLine="720"/>
        <w:jc w:val="both"/>
        <w:rPr/>
      </w:pPr>
      <w:bookmarkStart w:id="119" w:name="zf_Restated_Definitions.__The_definitio"/>
      <w:bookmarkEnd w:id="119"/>
      <w:r>
        <w:rPr/>
        <w:t>(f)          </w:t>
      </w:r>
      <w:r>
        <w:rPr>
          <w:u w:val="single"/>
        </w:rPr>
        <w:t>Restated Definitions</w:t>
      </w:r>
      <w:r>
        <w:rPr/>
        <w:t>. The definitions of “Applicable Index Rate”, “Applicable Interest Period”, “Applicable Interest Rate Determination Date” and “Business Day”, set forth in Section 15 of the Existing Credit Agreement are hereby deleted in their entirety and restated to read as follows:</w:t>
      </w:r>
    </w:p>
    <w:p>
      <w:pPr>
        <w:pStyle w:val="TextBody"/>
        <w:spacing w:before="0" w:after="0"/>
        <w:rPr/>
      </w:pPr>
      <w:r>
        <w:rPr/>
        <w:t> </w:t>
      </w:r>
    </w:p>
    <w:p>
      <w:pPr>
        <w:pStyle w:val="TextBody"/>
        <w:spacing w:before="0" w:after="0"/>
        <w:ind w:left="1440" w:right="0" w:hanging="0"/>
        <w:jc w:val="both"/>
        <w:rPr/>
      </w:pPr>
      <w:r>
        <w:rPr/>
        <w:t>“</w:t>
      </w:r>
      <w:r>
        <w:rPr>
          <w:b/>
        </w:rPr>
        <w:t>Applicable Index Rate</w:t>
      </w:r>
      <w:r>
        <w:rPr/>
        <w:t xml:space="preserve">” means, from and after the SOFR Implementation Date, for any Applicable Interest Period, the rate per annum determined by Agent equal to the Applicable SOFR Rate; </w:t>
      </w:r>
      <w:r>
        <w:rPr>
          <w:i/>
        </w:rPr>
        <w:t>provided</w:t>
      </w:r>
      <w:r>
        <w:rPr/>
        <w:t xml:space="preserve">, </w:t>
      </w:r>
      <w:r>
        <w:rPr>
          <w:i/>
        </w:rPr>
        <w:t>however</w:t>
      </w:r>
      <w:r>
        <w:rPr/>
        <w:t>, that in the event that any change in market conditions or any law, regulation, treaty, or directive, or any change therein or in the interpretation of application thereof, shall at any time after the date hereof, in the reasonable opinion of Agent or any Lender, make it unlawful or impractical for Agent or such Lender to fund or maintain Obligations bearing interest based upon the Applicable SOFR Rate, Agent or such Lender shall give notice of such changed circumstances to Agent and Borrower and the Applicable Index Rate for Obligations outstanding or thereafter extended or made by Agent or such Lender shall thereafter be the Applicable Prime Rate until Agent or such Lender determines (as to the portion of the Credit Extensions or Obligations owed to it) that it would no longer be unlawful or impractical to fund or maintain such Obligations or Credit Extensions at the Applicable SOFR Rate. In the event that Agent shall have determined (which determination shall be final and conclusive and binding upon all parties hereto), as of any Applicable Interest Rate Determination Date, that adequate and fair means do not exist for ascertaining the interest rate applicable to any Credit Facility on the basis provided for herein, then Agent may select a comparable replacement index and corresponding margin.</w:t>
      </w:r>
    </w:p>
    <w:p>
      <w:pPr>
        <w:pStyle w:val="TextBody"/>
        <w:spacing w:before="0" w:after="0"/>
        <w:rPr/>
      </w:pPr>
      <w:r>
        <w:rPr/>
        <w:t> </w:t>
      </w:r>
    </w:p>
    <w:p>
      <w:pPr>
        <w:pStyle w:val="Normal"/>
        <w:spacing w:before="0" w:after="0"/>
        <w:rPr>
          <w:sz w:val="4"/>
          <w:szCs w:val="4"/>
        </w:rPr>
      </w:pPr>
      <w:r>
        <w:rPr>
          <w:sz w:val="4"/>
          <w:szCs w:val="4"/>
        </w:rPr>
      </w:r>
      <w:bookmarkStart w:id="120" w:name="z8057ba9ed1464f78b51ca616fbbcff6b"/>
      <w:bookmarkStart w:id="121" w:name="z8057ba9ed1464f78b51ca616fbbcff6b"/>
      <w:bookmarkEnd w:id="121"/>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7</w:t>
            </w:r>
          </w:p>
        </w:tc>
      </w:tr>
    </w:tbl>
    <w:p>
      <w:pPr>
        <w:pStyle w:val="HorizontalLine"/>
        <w:pBdr>
          <w:bottom w:val="single" w:sz="20" w:space="0" w:color="808080"/>
        </w:pBdr>
        <w:spacing w:before="200" w:after="200"/>
        <w:rPr/>
      </w:pPr>
      <w:r>
        <w:rPr/>
      </w:r>
    </w:p>
    <w:p>
      <w:pPr>
        <w:pStyle w:val="TextBody"/>
        <w:spacing w:before="0" w:after="0"/>
        <w:ind w:left="1440" w:right="0" w:hanging="0"/>
        <w:jc w:val="both"/>
        <w:rPr/>
      </w:pPr>
      <w:r>
        <w:rPr/>
        <w:t>“</w:t>
      </w:r>
      <w:r>
        <w:rPr>
          <w:b/>
        </w:rPr>
        <w:t>Applicable Interest Period</w:t>
      </w:r>
      <w:r>
        <w:rPr/>
        <w:t xml:space="preserve">” for each Credit Facility has the meaning specified for that Credit Facility in the Credit Facility Schedule; </w:t>
      </w:r>
      <w:r>
        <w:rPr>
          <w:i/>
        </w:rPr>
        <w:t>provided</w:t>
      </w:r>
      <w:r>
        <w:rPr/>
        <w:t xml:space="preserve">, </w:t>
      </w:r>
      <w:r>
        <w:rPr>
          <w:i/>
        </w:rPr>
        <w:t>however</w:t>
      </w:r>
      <w:r>
        <w:rPr/>
        <w:t xml:space="preserve">, that, at any time that the Applicable Prime Rate is the Applicable Index Rate, Applicable Interest Period shall mean the period commencing as of the most recent Applicable Interest Rate Determination Date and continuing until the next Applicable Interest Rate Determination Date or such earlier date as the Applicable Prime Rate shall no longer be the Applicable Index Rate; and </w:t>
      </w:r>
      <w:r>
        <w:rPr>
          <w:i/>
        </w:rPr>
        <w:t>provided</w:t>
      </w:r>
      <w:r>
        <w:rPr/>
        <w:t xml:space="preserve">, </w:t>
      </w:r>
      <w:r>
        <w:rPr>
          <w:i/>
        </w:rPr>
        <w:t>further</w:t>
      </w:r>
      <w:r>
        <w:rPr/>
        <w:t>, that, at any time Term SOFR is adjusted as set forth in this Agreement, or re-implemented following invocation of the Applicable Prime Rate as permitted herein, the Applicable Interest Period shall mean the period commencing as of such adjustment or re-implementation and continuing until the next Applicable Interest Rate Determination Date, if any.</w:t>
      </w:r>
    </w:p>
    <w:p>
      <w:pPr>
        <w:pStyle w:val="TextBody"/>
        <w:spacing w:before="0" w:after="0"/>
        <w:ind w:left="1440" w:right="0" w:hanging="0"/>
        <w:rPr/>
      </w:pPr>
      <w:r>
        <w:rPr/>
        <w:t> </w:t>
      </w:r>
    </w:p>
    <w:p>
      <w:pPr>
        <w:pStyle w:val="TextBody"/>
        <w:spacing w:before="0" w:after="0"/>
        <w:ind w:left="1440" w:right="0" w:hanging="0"/>
        <w:jc w:val="both"/>
        <w:rPr/>
      </w:pPr>
      <w:r>
        <w:rPr/>
        <w:t>“</w:t>
      </w:r>
      <w:r>
        <w:rPr>
          <w:b/>
        </w:rPr>
        <w:t>Applicable Interest Rate Determination Date</w:t>
      </w:r>
      <w:r>
        <w:rPr/>
        <w:t xml:space="preserve">” means the second (2nd) Business Day prior to the first (1st) day of the related Applicable Interest Period; </w:t>
      </w:r>
      <w:r>
        <w:rPr>
          <w:i/>
        </w:rPr>
        <w:t>provided</w:t>
      </w:r>
      <w:r>
        <w:rPr/>
        <w:t xml:space="preserve">, </w:t>
      </w:r>
      <w:r>
        <w:rPr>
          <w:i/>
        </w:rPr>
        <w:t>however</w:t>
      </w:r>
      <w:r>
        <w:rPr/>
        <w:t xml:space="preserve">, that, at any time that the Applicable Prime Rate is the Applicable Index Rate, Applicable Interest Rate Determination Date means the date of any change in the Base Rate Index; and </w:t>
      </w:r>
      <w:r>
        <w:rPr>
          <w:i/>
        </w:rPr>
        <w:t>provided</w:t>
      </w:r>
      <w:r>
        <w:rPr/>
        <w:t xml:space="preserve">, </w:t>
      </w:r>
      <w:r>
        <w:rPr>
          <w:i/>
        </w:rPr>
        <w:t>further</w:t>
      </w:r>
      <w:r>
        <w:rPr/>
        <w:t>, that, at any time Term SOFR is adjusted as set forth in this Agreement, the Applicable Interest Rate Determination Date shall mean the date of such adjustment or the second (2nd) Business Day prior to the first (1st) day of the related Applicable Interest Period, as elected by Agent.</w:t>
      </w:r>
    </w:p>
    <w:p>
      <w:pPr>
        <w:pStyle w:val="TextBody"/>
        <w:spacing w:before="0" w:after="0"/>
        <w:ind w:left="1440" w:right="0" w:hanging="0"/>
        <w:rPr/>
      </w:pPr>
      <w:r>
        <w:rPr/>
        <w:t> </w:t>
      </w:r>
    </w:p>
    <w:p>
      <w:pPr>
        <w:pStyle w:val="TextBody"/>
        <w:spacing w:before="0" w:after="0"/>
        <w:ind w:left="1440" w:right="0" w:hanging="0"/>
        <w:jc w:val="both"/>
        <w:rPr/>
      </w:pPr>
      <w:r>
        <w:rPr/>
        <w:t>“</w:t>
      </w:r>
      <w:r>
        <w:rPr>
          <w:b/>
        </w:rPr>
        <w:t>Business Day</w:t>
      </w:r>
      <w:r>
        <w:rPr/>
        <w:t xml:space="preserve">” means any day except a Saturday, Sunday or other day on which either the New York Stock Exchange is closed, or on which commercial banks in Washington, DC and New York City are authorized by law to close; </w:t>
      </w:r>
      <w:r>
        <w:rPr>
          <w:i/>
        </w:rPr>
        <w:t>provided</w:t>
      </w:r>
      <w:r>
        <w:rPr/>
        <w:t xml:space="preserve">, </w:t>
      </w:r>
      <w:r>
        <w:rPr>
          <w:i/>
        </w:rPr>
        <w:t>however</w:t>
      </w:r>
      <w:r>
        <w:rPr/>
        <w:t>, that when used in the context of a SOFR Loan, the term “Business Day” shall also exclude any day that is not also a SOFR Business Day.</w:t>
      </w:r>
    </w:p>
    <w:p>
      <w:pPr>
        <w:pStyle w:val="TextBody"/>
        <w:spacing w:before="0" w:after="0"/>
        <w:rPr/>
      </w:pPr>
      <w:r>
        <w:rPr/>
        <w:t> </w:t>
      </w:r>
    </w:p>
    <w:p>
      <w:pPr>
        <w:pStyle w:val="TextBody"/>
        <w:spacing w:before="0" w:after="0"/>
        <w:ind w:left="720" w:right="0" w:firstLine="720"/>
        <w:jc w:val="both"/>
        <w:rPr/>
      </w:pPr>
      <w:bookmarkStart w:id="122" w:name="zg_Deleted_Definitions._Section_15_of_t"/>
      <w:bookmarkEnd w:id="122"/>
      <w:r>
        <w:rPr/>
        <w:t xml:space="preserve">(g)         </w:t>
      </w:r>
      <w:r>
        <w:rPr>
          <w:u w:val="single"/>
        </w:rPr>
        <w:t>Deleted Definitions</w:t>
      </w:r>
      <w:r>
        <w:rPr/>
        <w:t>. Section 15 of the Existing Credit Agreement is hereby amended by deleting in their entirety the definitions of “Applicable Libor Rate” and “Libor Rate Index” therein.</w:t>
      </w:r>
    </w:p>
    <w:p>
      <w:pPr>
        <w:pStyle w:val="TextBody"/>
        <w:spacing w:before="0" w:after="0"/>
        <w:rPr/>
      </w:pPr>
      <w:r>
        <w:rPr/>
      </w:r>
    </w:p>
    <w:p>
      <w:pPr>
        <w:pStyle w:val="TextBody"/>
        <w:spacing w:before="0" w:after="0"/>
        <w:ind w:left="720" w:right="0" w:firstLine="720"/>
        <w:jc w:val="both"/>
        <w:rPr/>
      </w:pPr>
      <w:bookmarkStart w:id="123" w:name="zh_The_Credit_Facility_Schedule_for_Cre"/>
      <w:bookmarkEnd w:id="123"/>
      <w:r>
        <w:rPr/>
        <w:t>(h)        The Credit Facility Schedule for Credit Facility #1 attached to the Existing Credit Agreement is hereby amended by replacing the definition of “Applicable Floor” therein in its entirety with the following:</w:t>
      </w:r>
    </w:p>
    <w:p>
      <w:pPr>
        <w:pStyle w:val="TextBody"/>
        <w:spacing w:before="0" w:after="0"/>
        <w:rPr/>
      </w:pPr>
      <w:r>
        <w:rPr/>
      </w:r>
    </w:p>
    <w:p>
      <w:pPr>
        <w:pStyle w:val="Normal"/>
        <w:spacing w:before="0" w:after="0"/>
        <w:rPr>
          <w:sz w:val="4"/>
          <w:szCs w:val="4"/>
        </w:rPr>
      </w:pPr>
      <w:r>
        <w:rPr>
          <w:sz w:val="4"/>
          <w:szCs w:val="4"/>
        </w:rPr>
      </w:r>
      <w:bookmarkStart w:id="124" w:name="zfc363f5b92204c7e909e28f68b44c8ce"/>
      <w:bookmarkStart w:id="125" w:name="zfc363f5b92204c7e909e28f68b44c8ce"/>
      <w:bookmarkEnd w:id="125"/>
    </w:p>
    <w:tbl>
      <w:tblPr>
        <w:tblW w:w="6258" w:type="dxa"/>
        <w:jc w:val="left"/>
        <w:tblInd w:w="0" w:type="dxa"/>
        <w:tblCellMar>
          <w:top w:w="0" w:type="dxa"/>
          <w:left w:w="0" w:type="dxa"/>
          <w:bottom w:w="0" w:type="dxa"/>
          <w:right w:w="0" w:type="dxa"/>
        </w:tblCellMar>
      </w:tblPr>
      <w:tblGrid>
        <w:gridCol w:w="38"/>
        <w:gridCol w:w="230"/>
        <w:gridCol w:w="5990"/>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pPr>
            <w:bookmarkStart w:id="126" w:name="zi_Applicable_Floor%3A_means_one_half_pe"/>
            <w:bookmarkEnd w:id="126"/>
            <w:r>
              <w:rPr/>
              <w:t>(i)</w:t>
            </w:r>
          </w:p>
        </w:tc>
        <w:tc>
          <w:tcPr>
            <w:tcW w:w="5990" w:type="dxa"/>
            <w:tcBorders/>
            <w:shd w:fill="auto" w:val="clear"/>
            <w:vAlign w:val="center"/>
          </w:tcPr>
          <w:p>
            <w:pPr>
              <w:pStyle w:val="TableContents"/>
              <w:spacing w:before="0" w:after="0"/>
              <w:rPr/>
            </w:pPr>
            <w:r>
              <w:rPr>
                <w:b/>
              </w:rPr>
              <w:t>Applicable Floor</w:t>
            </w:r>
            <w:r>
              <w:rPr/>
              <w:t>: means one half percent (0.50%) per annum.</w:t>
            </w:r>
          </w:p>
        </w:tc>
      </w:tr>
    </w:tbl>
    <w:p>
      <w:pPr>
        <w:pStyle w:val="TextBody"/>
        <w:spacing w:before="0" w:after="0"/>
        <w:rPr/>
      </w:pPr>
      <w:r>
        <w:rPr/>
        <w:t> </w:t>
      </w:r>
    </w:p>
    <w:p>
      <w:pPr>
        <w:pStyle w:val="TextBody"/>
        <w:spacing w:before="0" w:after="0"/>
        <w:ind w:left="0" w:right="0" w:firstLine="720"/>
        <w:jc w:val="both"/>
        <w:rPr/>
      </w:pPr>
      <w:bookmarkStart w:id="127" w:name="z3._Conditions_to_Effectiveness.__This_A"/>
      <w:bookmarkEnd w:id="127"/>
      <w:r>
        <w:rPr/>
        <w:t xml:space="preserve">3.         </w:t>
      </w:r>
      <w:r>
        <w:rPr>
          <w:b/>
          <w:u w:val="single"/>
        </w:rPr>
        <w:t>Conditions to Effectiveness</w:t>
      </w:r>
      <w:r>
        <w:rPr>
          <w:b/>
        </w:rPr>
        <w:t xml:space="preserve">. </w:t>
      </w:r>
      <w:r>
        <w:rPr/>
        <w:t>This Agreement shall become effective as of the date on which Agent shall have received (including by way of facsimile or other electronic transmission) a duly authorized, executed and delivered counterpart of the signature page to this Agreement from each Borrower, Agent and the Lenders.</w:t>
      </w:r>
    </w:p>
    <w:p>
      <w:pPr>
        <w:pStyle w:val="TextBody"/>
        <w:spacing w:before="0" w:after="0"/>
        <w:ind w:left="0" w:right="0" w:firstLine="720"/>
        <w:rPr/>
      </w:pPr>
      <w:r>
        <w:rPr/>
        <w:t> </w:t>
      </w:r>
    </w:p>
    <w:p>
      <w:pPr>
        <w:pStyle w:val="TextBody"/>
        <w:spacing w:before="0" w:after="0"/>
        <w:ind w:left="0" w:right="0" w:firstLine="720"/>
        <w:jc w:val="both"/>
        <w:rPr/>
      </w:pPr>
      <w:bookmarkStart w:id="128" w:name="z4._No_Waiver_or_Novation.__The_executio"/>
      <w:bookmarkEnd w:id="128"/>
      <w:r>
        <w:rPr/>
        <w:t xml:space="preserve">4.         </w:t>
      </w:r>
      <w:r>
        <w:rPr>
          <w:b/>
          <w:u w:val="single"/>
        </w:rPr>
        <w:t>No Waiver or Novation</w:t>
      </w:r>
      <w:r>
        <w:rPr>
          <w:b/>
        </w:rPr>
        <w:t xml:space="preserve">. </w:t>
      </w:r>
      <w:r>
        <w:rPr/>
        <w:t>The execution, delivery and effectiveness of this Agreement shall not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spacing w:before="0" w:after="0"/>
        <w:jc w:val="both"/>
        <w:rPr/>
      </w:pPr>
      <w:r>
        <w:rPr/>
      </w:r>
    </w:p>
    <w:p>
      <w:pPr>
        <w:pStyle w:val="Normal"/>
        <w:spacing w:before="0" w:after="0"/>
        <w:rPr>
          <w:sz w:val="4"/>
          <w:szCs w:val="4"/>
        </w:rPr>
      </w:pPr>
      <w:r>
        <w:rPr>
          <w:sz w:val="4"/>
          <w:szCs w:val="4"/>
        </w:rPr>
      </w:r>
      <w:bookmarkStart w:id="129" w:name="z8fe6dd3fcf39417a8656ef92f7391c5e"/>
      <w:bookmarkStart w:id="130" w:name="z8fe6dd3fcf39417a8656ef92f7391c5e"/>
      <w:bookmarkEnd w:id="130"/>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8</w:t>
            </w:r>
          </w:p>
        </w:tc>
      </w:tr>
    </w:tbl>
    <w:p>
      <w:pPr>
        <w:pStyle w:val="HorizontalLine"/>
        <w:pBdr>
          <w:bottom w:val="single" w:sz="20" w:space="0" w:color="808080"/>
        </w:pBdr>
        <w:spacing w:before="200" w:after="200"/>
        <w:rPr/>
      </w:pPr>
      <w:r>
        <w:rPr/>
      </w:r>
    </w:p>
    <w:p>
      <w:pPr>
        <w:pStyle w:val="TextBody"/>
        <w:spacing w:before="0" w:after="0"/>
        <w:ind w:left="0" w:right="0" w:firstLine="720"/>
        <w:rPr>
          <w:b/>
        </w:rPr>
      </w:pPr>
      <w:bookmarkStart w:id="131" w:name="z5._Miscellaneous."/>
      <w:bookmarkEnd w:id="131"/>
      <w:r>
        <w:rPr>
          <w:b/>
        </w:rPr>
        <w:t xml:space="preserve">5.           </w:t>
      </w:r>
      <w:r>
        <w:rPr>
          <w:b/>
          <w:u w:val="single"/>
        </w:rPr>
        <w:t>Miscellaneous</w:t>
      </w:r>
      <w:r>
        <w:rPr>
          <w:b/>
        </w:rPr>
        <w:t>.</w:t>
      </w:r>
    </w:p>
    <w:p>
      <w:pPr>
        <w:pStyle w:val="TextBody"/>
        <w:spacing w:before="0" w:after="0"/>
        <w:rPr/>
      </w:pPr>
      <w:r>
        <w:rPr/>
        <w:t> </w:t>
      </w:r>
    </w:p>
    <w:p>
      <w:pPr>
        <w:pStyle w:val="TextBody"/>
        <w:spacing w:before="0" w:after="0"/>
        <w:ind w:left="0" w:right="0" w:firstLine="1440"/>
        <w:jc w:val="both"/>
        <w:rPr/>
      </w:pPr>
      <w:bookmarkStart w:id="132" w:name="za_Reference_to_the_Effect_on_the_Credi"/>
      <w:bookmarkEnd w:id="132"/>
      <w:r>
        <w:rPr/>
        <w:t xml:space="preserve">(a)       </w:t>
      </w:r>
      <w:r>
        <w:rPr>
          <w:u w:val="single"/>
        </w:rPr>
        <w:t>Reference to the Effect on the Credit Agreement</w:t>
      </w:r>
      <w:r>
        <w:rPr/>
        <w:t>. The Credit Agreement, and all other Financing Documents (and all covenants, terms, conditions and agreements therein), shall remain in full force and effect, and are hereby ratified and confirmed in all respects by each Credit Party.</w:t>
      </w:r>
    </w:p>
    <w:p>
      <w:pPr>
        <w:pStyle w:val="TextBody"/>
        <w:spacing w:before="0" w:after="0"/>
        <w:rPr/>
      </w:pPr>
      <w:r>
        <w:rPr/>
      </w:r>
    </w:p>
    <w:p>
      <w:pPr>
        <w:pStyle w:val="TextBody"/>
        <w:spacing w:before="0" w:after="0"/>
        <w:ind w:left="0" w:right="0" w:firstLine="1440"/>
        <w:jc w:val="both"/>
        <w:rPr/>
      </w:pPr>
      <w:bookmarkStart w:id="133" w:name="zb_THIS_AGREEMENT_AND_THE_RIGHTS_REMED"/>
      <w:bookmarkEnd w:id="133"/>
      <w:r>
        <w:rPr/>
        <w:t>(b)        THIS AGREEMENT AND THE RIGHTS, REMEDIES AND OBLIGATIONS OF THE PARTIES HERETO, AND ANY CLAIM, CONTROVERSY OR DISPUTE ARISING UNDER OR RELATED TO THIS AGREEMENT, THE RELATIONSHIP OF THE PARTIES, AND/OR THE INTERPRETATION AND ENFORCEMENT OF THE RIGHTS AND DUTIES OF THE PARTIES AND ALL OTHER MATTERS RELATING HERETO OR ARISING THEREFROM (WHETHER SOUNDING IN CONTRACT LAW, TORT LAW OR OTHERWISE), SHALL BE GOVERNED BY, AND CONSTRUED AND INTERPRETED IN ACCORDANCE WITH, THE LAWS OF THE STATE OF NEW YORK, WITHOUT REFERENCE TO ITS CONFLICT OF LAW PROVISIONS (OTHER THAN SECTION 5-1401 OF THE GENERAL OBLIGATIONS LAW). NOTWITHSTANDING THE FOREGOING, AGENT AND LENDERS SHALL HAVE THE RIGHT TO BRING ANY ACTION OR PROCEEDING AGAINST EACH CREDIT PARTY OR ITS PROPERTY IN THE COURTS OF ANY OTHER JURISDICTION WHICH AGENT AND LENDERS (IN ACCORDANCE WITH THE PROVISIONS OF SECTION 12.1 OF THE CREDIT AGREEMENT) DEEM NECESSARY OR APPROPRIATE TO REALIZE ON THE COLLATERAL OR TO OTHERWISE ENFORCE AGENT’S AND LENDERS’ RIGHTS AGAINST SUCH CREDIT PARTY OR ITS PROPERTY. EACH CREDIT PARTY EXPRESSLY SUBMITS AND CONSENTS IN ADVANCE TO SUCH JURISDICTION IN ANY ACTION OR SUIT COMMENCED IN ANY SUCH COURT, AND EACH CREDIT PARTY HEREBY WAIVES ANY OBJECTION THAT IT MAY HAVE BASED UPON LACK OF PERSONAL JURISDICTION, IMPROPER VENUE, OR FORUM NON CONVENIENS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THE APPLICABLE CREDIT PARTY AT THE ADDRESS SET FORTH IN ARTICLE 11 OF THE CREDIT AGREEMENT AND THAT SERVICE SO MADE SHALL BE DEEMED COMPLETED UPON THE EARLIER TO OCCUR OF SUCH CREDIT PARTY’S ACTUAL RECEIPT THEREOF OR THREE (3) DAYS AFTER DEPOSIT IN THE U.S. MAIL, PROPER POSTAGE PREPAID.</w:t>
      </w:r>
    </w:p>
    <w:p>
      <w:pPr>
        <w:pStyle w:val="TextBody"/>
        <w:spacing w:before="0" w:after="0"/>
        <w:rPr/>
      </w:pPr>
      <w:r>
        <w:rPr/>
      </w:r>
    </w:p>
    <w:p>
      <w:pPr>
        <w:pStyle w:val="TextBody"/>
        <w:spacing w:before="0" w:after="0"/>
        <w:ind w:left="0" w:right="0" w:firstLine="1440"/>
        <w:jc w:val="both"/>
        <w:rPr/>
      </w:pPr>
      <w:bookmarkStart w:id="134" w:name="zc_TO_THE_FULLEST_EXTENT_PERMITTED_BY_A"/>
      <w:bookmarkEnd w:id="134"/>
      <w:r>
        <w:rPr/>
        <w:t xml:space="preserve">(c)        </w:t>
      </w:r>
      <w:r>
        <w:rPr>
          <w:b/>
        </w:rPr>
        <w:t>TO THE FULLEST EXTENT PERMITTED BY APPLICABLE LAW, EACH CREDIT PARTY, AGENT AND LENDERS PARTY HERETO EACH WAIVE THEIR RIGHT TO A JURY TRIAL OF ANY CLAIM OR CAUSE OF ACTION ARISING OUT OF OR BASED UPON THIS AGREEMENT OR ANY CONTEMPLATED TRANSACTION, INCLUDING CONTRACT, TORT, BREACH OF DUTY AND ALL OTHER CLAIMS. THIS WAIVER IS A MATERIAL INDUCEMENT FOR BOTH PARTIES TO ENTER INTO THIS AGREEMENT. EACH PARTY HAS REVIEWED THIS WAIVER WITH ITS COUNSEL</w:t>
      </w:r>
      <w:r>
        <w:rPr/>
        <w:t>.</w:t>
      </w:r>
    </w:p>
    <w:p>
      <w:pPr>
        <w:pStyle w:val="TextBody"/>
        <w:spacing w:before="0" w:after="0"/>
        <w:rPr/>
      </w:pPr>
      <w:r>
        <w:rPr/>
      </w:r>
    </w:p>
    <w:p>
      <w:pPr>
        <w:pStyle w:val="TextBody"/>
        <w:spacing w:before="0" w:after="0"/>
        <w:ind w:left="0" w:right="0" w:firstLine="1440"/>
        <w:jc w:val="both"/>
        <w:rPr/>
      </w:pPr>
      <w:bookmarkStart w:id="135" w:name="zd_Incorporation_of_Credit_Agreement_Pr"/>
      <w:bookmarkEnd w:id="135"/>
      <w:r>
        <w:rPr/>
        <w:t xml:space="preserve">(d)        </w:t>
      </w:r>
      <w:r>
        <w:rPr>
          <w:u w:val="single"/>
        </w:rPr>
        <w:t>Incorporation of Credit Agreement Provisions</w:t>
      </w:r>
      <w:r>
        <w:rPr/>
        <w:t>. The provisions contained in</w:t>
      </w:r>
      <w:r>
        <w:rPr>
          <w:u w:val="single"/>
        </w:rPr>
        <w:t xml:space="preserve"> Section 12.2(b)</w:t>
      </w:r>
      <w:r>
        <w:rPr/>
        <w:t xml:space="preserve"> (</w:t>
      </w:r>
      <w:r>
        <w:rPr>
          <w:i/>
        </w:rPr>
        <w:t>California Waivers</w:t>
      </w:r>
      <w:r>
        <w:rPr/>
        <w:t xml:space="preserve">), </w:t>
      </w:r>
      <w:r>
        <w:rPr>
          <w:u w:val="single"/>
        </w:rPr>
        <w:t>Section 12.3</w:t>
      </w:r>
      <w:r>
        <w:rPr/>
        <w:t xml:space="preserve"> (</w:t>
      </w:r>
      <w:r>
        <w:rPr>
          <w:i/>
        </w:rPr>
        <w:t>California Waiver</w:t>
      </w:r>
      <w:r>
        <w:rPr/>
        <w:t xml:space="preserve">) and </w:t>
      </w:r>
      <w:r>
        <w:rPr>
          <w:u w:val="single"/>
        </w:rPr>
        <w:t xml:space="preserve">Section 13.2 </w:t>
      </w:r>
      <w:r>
        <w:rPr/>
        <w:t>(</w:t>
      </w:r>
      <w:r>
        <w:rPr>
          <w:i/>
        </w:rPr>
        <w:t>Indemnification</w:t>
      </w:r>
      <w:r>
        <w:rPr/>
        <w:t>) of the Credit Agreement are incorporated herein by reference to the same extent as if reproduced herein in their entirety.</w:t>
      </w:r>
    </w:p>
    <w:p>
      <w:pPr>
        <w:pStyle w:val="TextBody"/>
        <w:spacing w:before="0" w:after="0"/>
        <w:jc w:val="both"/>
        <w:rPr/>
      </w:pPr>
      <w:r>
        <w:rPr/>
      </w:r>
    </w:p>
    <w:p>
      <w:pPr>
        <w:pStyle w:val="Normal"/>
        <w:spacing w:before="0" w:after="0"/>
        <w:rPr>
          <w:sz w:val="4"/>
          <w:szCs w:val="4"/>
        </w:rPr>
      </w:pPr>
      <w:r>
        <w:rPr>
          <w:sz w:val="4"/>
          <w:szCs w:val="4"/>
        </w:rPr>
      </w:r>
      <w:bookmarkStart w:id="136" w:name="zbcf9f77db419467da4f5a85e728959d3"/>
      <w:bookmarkStart w:id="137" w:name="zbcf9f77db419467da4f5a85e728959d3"/>
      <w:bookmarkEnd w:id="137"/>
    </w:p>
    <w:tbl>
      <w:tblPr>
        <w:tblW w:w="2635" w:type="dxa"/>
        <w:jc w:val="left"/>
        <w:tblInd w:w="0" w:type="dxa"/>
        <w:tblCellMar>
          <w:top w:w="0" w:type="dxa"/>
          <w:left w:w="0" w:type="dxa"/>
          <w:bottom w:w="0" w:type="dxa"/>
          <w:right w:w="0" w:type="dxa"/>
        </w:tblCellMar>
      </w:tblPr>
      <w:tblGrid>
        <w:gridCol w:w="2525"/>
        <w:gridCol w:w="11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110" w:type="dxa"/>
            <w:tcBorders/>
            <w:shd w:fill="auto" w:val="clear"/>
            <w:vAlign w:val="center"/>
          </w:tcPr>
          <w:p>
            <w:pPr>
              <w:pStyle w:val="TableContents"/>
              <w:spacing w:before="0" w:after="283"/>
              <w:rPr>
                <w:sz w:val="16"/>
              </w:rPr>
            </w:pPr>
            <w:r>
              <w:rPr>
                <w:sz w:val="16"/>
              </w:rPr>
              <w:t>9</w:t>
            </w:r>
          </w:p>
        </w:tc>
      </w:tr>
    </w:tbl>
    <w:p>
      <w:pPr>
        <w:pStyle w:val="HorizontalLine"/>
        <w:pBdr>
          <w:bottom w:val="single" w:sz="20" w:space="0" w:color="808080"/>
        </w:pBdr>
        <w:spacing w:before="200" w:after="200"/>
        <w:rPr/>
      </w:pPr>
      <w:r>
        <w:rPr/>
      </w:r>
    </w:p>
    <w:p>
      <w:pPr>
        <w:pStyle w:val="TextBody"/>
        <w:spacing w:before="0" w:after="0"/>
        <w:ind w:left="0" w:right="0" w:firstLine="1440"/>
        <w:jc w:val="both"/>
        <w:rPr/>
      </w:pPr>
      <w:bookmarkStart w:id="138" w:name="ze_Headings.__Section_headings_in_this_"/>
      <w:bookmarkEnd w:id="138"/>
      <w:r>
        <w:rPr/>
        <w:t xml:space="preserve">(e)         </w:t>
      </w:r>
      <w:r>
        <w:rPr>
          <w:u w:val="single"/>
        </w:rPr>
        <w:t>Headings</w:t>
      </w:r>
      <w:r>
        <w:rPr/>
        <w:t>. Section headings in this Agreement are included for convenience of reference only and shall not constitute a part of this Agreement for any other purpose.</w:t>
      </w:r>
    </w:p>
    <w:p>
      <w:pPr>
        <w:pStyle w:val="TextBody"/>
        <w:spacing w:before="0" w:after="0"/>
        <w:rPr/>
      </w:pPr>
      <w:r>
        <w:rPr/>
      </w:r>
    </w:p>
    <w:p>
      <w:pPr>
        <w:pStyle w:val="TextBody"/>
        <w:spacing w:before="0" w:after="0"/>
        <w:ind w:left="0" w:right="0" w:firstLine="1440"/>
        <w:jc w:val="both"/>
        <w:rPr/>
      </w:pPr>
      <w:bookmarkStart w:id="139" w:name="zf_Counterparts.__This_Agreement_may_be"/>
      <w:bookmarkEnd w:id="139"/>
      <w:r>
        <w:rPr/>
        <w:t xml:space="preserve">(f)         </w:t>
      </w:r>
      <w:r>
        <w:rPr>
          <w:u w:val="single"/>
        </w:rPr>
        <w:t>Counterparts</w:t>
      </w:r>
      <w:r>
        <w:rPr/>
        <w:t>. This Agreement may be executed in any number of counterparts and by different parties on separate counterparts, each of which, when executed and delivered, is an original, and all taken together, constitute one Agreement. Delivery of an executed signature page of this Agreement by facsimile transmission or electronic transmission shall be as effective as delivery of a manually executed counterpart hereof.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w:t>
      </w:r>
    </w:p>
    <w:p>
      <w:pPr>
        <w:pStyle w:val="TextBody"/>
        <w:spacing w:before="0" w:after="0"/>
        <w:rPr/>
      </w:pPr>
      <w:r>
        <w:rPr/>
        <w:t> </w:t>
      </w:r>
    </w:p>
    <w:p>
      <w:pPr>
        <w:pStyle w:val="TextBody"/>
        <w:spacing w:before="0" w:after="0"/>
        <w:ind w:left="0" w:right="0" w:firstLine="1440"/>
        <w:jc w:val="both"/>
        <w:rPr/>
      </w:pPr>
      <w:bookmarkStart w:id="140" w:name="zg_Entire_Agreement.__This_Agreement_co"/>
      <w:bookmarkEnd w:id="140"/>
      <w:r>
        <w:rPr/>
        <w:t xml:space="preserve">(g)         </w:t>
      </w:r>
      <w:r>
        <w:rPr>
          <w:u w:val="single"/>
        </w:rPr>
        <w:t>Entire Agreement</w:t>
      </w:r>
      <w:r>
        <w:rPr/>
        <w:t>. This Agreement constitutes the entire agreement and understanding among the parties hereto and supersedes any and all prior agreements and understandings, oral or written, relating to the subject matter hereof.</w:t>
      </w:r>
    </w:p>
    <w:p>
      <w:pPr>
        <w:pStyle w:val="TextBody"/>
        <w:spacing w:before="0" w:after="0"/>
        <w:ind w:left="0" w:right="0" w:firstLine="1440"/>
        <w:rPr/>
      </w:pPr>
      <w:r>
        <w:rPr/>
        <w:t> </w:t>
      </w:r>
    </w:p>
    <w:p>
      <w:pPr>
        <w:pStyle w:val="TextBody"/>
        <w:spacing w:before="0" w:after="0"/>
        <w:ind w:left="0" w:right="0" w:firstLine="1440"/>
        <w:jc w:val="both"/>
        <w:rPr/>
      </w:pPr>
      <w:bookmarkStart w:id="141" w:name="zh_Severability.__In_case_any_provision"/>
      <w:bookmarkEnd w:id="141"/>
      <w:r>
        <w:rPr/>
        <w:t xml:space="preserve">(h)         </w:t>
      </w:r>
      <w:r>
        <w:rPr>
          <w:u w:val="single"/>
        </w:rPr>
        <w:t>Severability</w:t>
      </w:r>
      <w:r>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pStyle w:val="TextBody"/>
        <w:spacing w:before="0" w:after="0"/>
        <w:rPr/>
      </w:pPr>
      <w:r>
        <w:rPr/>
      </w:r>
    </w:p>
    <w:p>
      <w:pPr>
        <w:pStyle w:val="TextBody"/>
        <w:spacing w:before="0" w:after="0"/>
        <w:ind w:left="0" w:right="0" w:firstLine="1440"/>
        <w:jc w:val="both"/>
        <w:rPr/>
      </w:pPr>
      <w:bookmarkStart w:id="142" w:name="zi_SuccessorsAssigns.__This_Agreement_"/>
      <w:bookmarkEnd w:id="142"/>
      <w:r>
        <w:rPr/>
        <w:t>(i)          </w:t>
      </w:r>
      <w:r>
        <w:rPr>
          <w:u w:val="single"/>
        </w:rPr>
        <w:t>Successors/Assigns</w:t>
      </w:r>
      <w:r>
        <w:rPr/>
        <w:t>. This Agreement shall bind, and the rights hereunder shall inure to, the respective successors and assigns of the parties hereto, subject to the provisions of the Credit Agreement and the other Financing Documents.</w:t>
      </w:r>
    </w:p>
    <w:p>
      <w:pPr>
        <w:pStyle w:val="TextBody"/>
        <w:spacing w:before="0" w:after="0"/>
        <w:rPr/>
      </w:pPr>
      <w:r>
        <w:rPr/>
        <w:t> </w:t>
      </w:r>
    </w:p>
    <w:p>
      <w:pPr>
        <w:pStyle w:val="TextBody"/>
        <w:spacing w:before="0" w:after="0"/>
        <w:jc w:val="center"/>
        <w:rPr/>
      </w:pPr>
      <w:r>
        <w:rPr/>
        <w:t>[SIGNATURES APPEAR ON FOLLOWING PAGES]</w:t>
      </w:r>
    </w:p>
    <w:p>
      <w:pPr>
        <w:pStyle w:val="TextBody"/>
        <w:spacing w:before="0" w:after="0"/>
        <w:jc w:val="center"/>
        <w:rPr/>
      </w:pPr>
      <w:r>
        <w:rPr/>
      </w:r>
    </w:p>
    <w:p>
      <w:pPr>
        <w:pStyle w:val="Normal"/>
        <w:spacing w:before="0" w:after="0"/>
        <w:rPr>
          <w:sz w:val="4"/>
          <w:szCs w:val="4"/>
        </w:rPr>
      </w:pPr>
      <w:r>
        <w:rPr>
          <w:sz w:val="4"/>
          <w:szCs w:val="4"/>
        </w:rPr>
      </w:r>
      <w:bookmarkStart w:id="143" w:name="z3cf010b10bc149d494c39a8cc315fccd"/>
      <w:bookmarkStart w:id="144" w:name="z3cf010b10bc149d494c39a8cc315fccd"/>
      <w:bookmarkEnd w:id="144"/>
    </w:p>
    <w:tbl>
      <w:tblPr>
        <w:tblW w:w="2725" w:type="dxa"/>
        <w:jc w:val="left"/>
        <w:tblInd w:w="0" w:type="dxa"/>
        <w:tblCellMar>
          <w:top w:w="0" w:type="dxa"/>
          <w:left w:w="0" w:type="dxa"/>
          <w:bottom w:w="0" w:type="dxa"/>
          <w:right w:w="0" w:type="dxa"/>
        </w:tblCellMar>
      </w:tblPr>
      <w:tblGrid>
        <w:gridCol w:w="2525"/>
        <w:gridCol w:w="200"/>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c>
          <w:tcPr>
            <w:tcW w:w="200" w:type="dxa"/>
            <w:tcBorders/>
            <w:shd w:fill="auto" w:val="clear"/>
            <w:vAlign w:val="center"/>
          </w:tcPr>
          <w:p>
            <w:pPr>
              <w:pStyle w:val="TableContents"/>
              <w:spacing w:before="0" w:after="283"/>
              <w:rPr>
                <w:sz w:val="16"/>
              </w:rPr>
            </w:pPr>
            <w:r>
              <w:rPr>
                <w:sz w:val="16"/>
              </w:rPr>
              <w:t>10</w:t>
            </w:r>
          </w:p>
        </w:tc>
      </w:tr>
    </w:tbl>
    <w:p>
      <w:pPr>
        <w:pStyle w:val="HorizontalLine"/>
        <w:pBdr>
          <w:bottom w:val="single" w:sz="20" w:space="0" w:color="808080"/>
        </w:pBdr>
        <w:spacing w:before="200" w:after="200"/>
        <w:rPr/>
      </w:pPr>
      <w:r>
        <w:rPr/>
      </w:r>
    </w:p>
    <w:p>
      <w:pPr>
        <w:pStyle w:val="TextBody"/>
        <w:spacing w:before="0" w:after="0"/>
        <w:rPr/>
      </w:pPr>
      <w:r>
        <w:rPr/>
        <w:t>IN WITNESS WHEREOF, intending to be legally bound, the undersigned have executed this Agreement as of the day and year first hereinabove set forth.</w:t>
      </w:r>
    </w:p>
    <w:p>
      <w:pPr>
        <w:pStyle w:val="TextBody"/>
        <w:spacing w:before="0" w:after="0"/>
        <w:rPr/>
      </w:pPr>
      <w:r>
        <w:rPr/>
      </w:r>
    </w:p>
    <w:p>
      <w:pPr>
        <w:pStyle w:val="Normal"/>
        <w:spacing w:before="0" w:after="0"/>
        <w:rPr>
          <w:sz w:val="4"/>
          <w:szCs w:val="4"/>
        </w:rPr>
      </w:pPr>
      <w:r>
        <w:rPr>
          <w:sz w:val="4"/>
          <w:szCs w:val="4"/>
        </w:rPr>
      </w:r>
      <w:bookmarkStart w:id="145" w:name="z2e260cf1a271470e90f14993d4d42a07"/>
      <w:bookmarkStart w:id="146" w:name="z2e260cf1a271470e90f14993d4d42a07"/>
      <w:bookmarkEnd w:id="146"/>
    </w:p>
    <w:tbl>
      <w:tblPr>
        <w:tblW w:w="6900" w:type="dxa"/>
        <w:jc w:val="left"/>
        <w:tblInd w:w="0" w:type="dxa"/>
        <w:tblCellMar>
          <w:top w:w="0" w:type="dxa"/>
          <w:left w:w="0" w:type="dxa"/>
          <w:bottom w:w="0" w:type="dxa"/>
          <w:right w:w="0" w:type="dxa"/>
        </w:tblCellMar>
      </w:tblPr>
      <w:tblGrid>
        <w:gridCol w:w="965"/>
        <w:gridCol w:w="365"/>
        <w:gridCol w:w="5510"/>
        <w:gridCol w:w="60"/>
      </w:tblGrid>
      <w:tr>
        <w:trPr/>
        <w:tc>
          <w:tcPr>
            <w:tcW w:w="965" w:type="dxa"/>
            <w:tcBorders/>
            <w:shd w:fill="auto" w:val="clear"/>
            <w:vAlign w:val="center"/>
          </w:tcPr>
          <w:p>
            <w:pPr>
              <w:pStyle w:val="TableContents"/>
              <w:spacing w:before="0" w:after="0"/>
              <w:rPr>
                <w:b/>
              </w:rPr>
            </w:pPr>
            <w:r>
              <w:rPr>
                <w:b/>
              </w:rPr>
              <w:t>AGENT:</w:t>
            </w:r>
          </w:p>
        </w:tc>
        <w:tc>
          <w:tcPr>
            <w:tcW w:w="5875" w:type="dxa"/>
            <w:gridSpan w:val="2"/>
            <w:tcBorders/>
            <w:shd w:fill="auto" w:val="clear"/>
            <w:vAlign w:val="center"/>
          </w:tcPr>
          <w:p>
            <w:pPr>
              <w:pStyle w:val="TableContents"/>
              <w:spacing w:before="0" w:after="0"/>
              <w:rPr>
                <w:b/>
              </w:rPr>
            </w:pPr>
            <w:r>
              <w:rPr>
                <w:b/>
              </w:rPr>
              <w:t>MIDCAP FINANCIAL TRUST</w:t>
            </w:r>
          </w:p>
        </w:tc>
        <w:tc>
          <w:tcPr>
            <w:tcW w:w="60" w:type="dxa"/>
            <w:tcBorders/>
            <w:shd w:fill="auto" w:val="clear"/>
            <w:vAlign w:val="center"/>
          </w:tcPr>
          <w:p>
            <w:pPr>
              <w:pStyle w:val="TableContents"/>
              <w:spacing w:before="0" w:after="283"/>
              <w:rPr/>
            </w:pPr>
            <w:r>
              <w:rPr/>
              <w:t> </w:t>
            </w:r>
          </w:p>
        </w:tc>
      </w:tr>
      <w:tr>
        <w:trPr/>
        <w:tc>
          <w:tcPr>
            <w:tcW w:w="96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96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By:</w:t>
            </w:r>
          </w:p>
        </w:tc>
        <w:tc>
          <w:tcPr>
            <w:tcW w:w="5510" w:type="dxa"/>
            <w:tcBorders/>
            <w:shd w:fill="auto" w:val="clear"/>
            <w:vAlign w:val="center"/>
          </w:tcPr>
          <w:p>
            <w:pPr>
              <w:pStyle w:val="TableContents"/>
              <w:spacing w:before="0" w:after="0"/>
              <w:rPr/>
            </w:pPr>
            <w:r>
              <w:rPr/>
              <w:t>Apollo Capital Management, L.P., its investment manager</w:t>
            </w:r>
          </w:p>
        </w:tc>
        <w:tc>
          <w:tcPr>
            <w:tcW w:w="60" w:type="dxa"/>
            <w:tcBorders/>
            <w:shd w:fill="auto" w:val="clear"/>
            <w:vAlign w:val="center"/>
          </w:tcPr>
          <w:p>
            <w:pPr>
              <w:pStyle w:val="TableContents"/>
              <w:spacing w:before="0" w:after="283"/>
              <w:rPr/>
            </w:pPr>
            <w:r>
              <w:rPr/>
              <w:t> </w:t>
            </w:r>
          </w:p>
        </w:tc>
      </w:tr>
      <w:tr>
        <w:trPr/>
        <w:tc>
          <w:tcPr>
            <w:tcW w:w="96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96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pPr>
            <w:r>
              <w:rPr/>
              <w:t>By:</w:t>
            </w:r>
          </w:p>
        </w:tc>
        <w:tc>
          <w:tcPr>
            <w:tcW w:w="5510" w:type="dxa"/>
            <w:tcBorders/>
            <w:shd w:fill="auto" w:val="clear"/>
            <w:vAlign w:val="center"/>
          </w:tcPr>
          <w:p>
            <w:pPr>
              <w:pStyle w:val="TableContents"/>
              <w:spacing w:before="0" w:after="0"/>
              <w:rPr/>
            </w:pPr>
            <w:r>
              <w:rPr/>
              <w:t>Apollo Capital Management GP, LLC, its general partner</w:t>
            </w:r>
          </w:p>
        </w:tc>
        <w:tc>
          <w:tcPr>
            <w:tcW w:w="60" w:type="dxa"/>
            <w:tcBorders/>
            <w:shd w:fill="auto" w:val="clear"/>
            <w:vAlign w:val="center"/>
          </w:tcPr>
          <w:p>
            <w:pPr>
              <w:pStyle w:val="TableContents"/>
              <w:spacing w:before="0" w:after="283"/>
              <w:rPr/>
            </w:pPr>
            <w:r>
              <w:rPr/>
              <w:t> </w:t>
            </w:r>
          </w:p>
        </w:tc>
      </w:tr>
      <w:tr>
        <w:trPr/>
        <w:tc>
          <w:tcPr>
            <w:tcW w:w="96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p>
      <w:pPr>
        <w:pStyle w:val="Normal"/>
        <w:spacing w:before="0" w:after="0"/>
        <w:rPr>
          <w:sz w:val="4"/>
          <w:szCs w:val="4"/>
        </w:rPr>
      </w:pPr>
      <w:r>
        <w:rPr>
          <w:sz w:val="4"/>
          <w:szCs w:val="4"/>
        </w:rPr>
      </w:r>
      <w:bookmarkStart w:id="147" w:name="z47edb0934db941628f162eb93a733ec4"/>
      <w:bookmarkStart w:id="148" w:name="z47edb0934db941628f162eb93a733ec4"/>
      <w:bookmarkEnd w:id="148"/>
    </w:p>
    <w:tbl>
      <w:tblPr>
        <w:tblW w:w="2734" w:type="dxa"/>
        <w:jc w:val="left"/>
        <w:tblInd w:w="0" w:type="dxa"/>
        <w:tblCellMar>
          <w:top w:w="0" w:type="dxa"/>
          <w:left w:w="0" w:type="dxa"/>
          <w:bottom w:w="0" w:type="dxa"/>
          <w:right w:w="0" w:type="dxa"/>
        </w:tblCellMar>
      </w:tblPr>
      <w:tblGrid>
        <w:gridCol w:w="60"/>
        <w:gridCol w:w="379"/>
        <w:gridCol w:w="2235"/>
        <w:gridCol w:w="60"/>
      </w:tblGrid>
      <w:tr>
        <w:trPr/>
        <w:tc>
          <w:tcPr>
            <w:tcW w:w="60"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0"/>
              <w:rPr/>
            </w:pPr>
            <w:r>
              <w:rPr/>
              <w:t>By:</w:t>
            </w:r>
          </w:p>
        </w:tc>
        <w:tc>
          <w:tcPr>
            <w:tcW w:w="2235" w:type="dxa"/>
            <w:tcBorders>
              <w:bottom w:val="single" w:sz="12" w:space="0" w:color="000000"/>
            </w:tcBorders>
            <w:shd w:fill="auto" w:val="clear"/>
            <w:tcMar>
              <w:bottom w:w="28" w:type="dxa"/>
            </w:tcMar>
            <w:vAlign w:val="center"/>
          </w:tcPr>
          <w:p>
            <w:pPr>
              <w:pStyle w:val="TableContents"/>
              <w:spacing w:before="0" w:after="283"/>
              <w:rPr/>
            </w:pPr>
            <w:r>
              <w:rPr/>
              <w:t> </w:t>
            </w:r>
            <w:r>
              <w:rPr/>
              <w:t>/s/ Maurice Amsellem</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614" w:type="dxa"/>
            <w:gridSpan w:val="2"/>
            <w:tcBorders/>
            <w:shd w:fill="auto" w:val="clear"/>
            <w:vAlign w:val="center"/>
          </w:tcPr>
          <w:p>
            <w:pPr>
              <w:pStyle w:val="TableContents"/>
              <w:spacing w:before="0" w:after="0"/>
              <w:rPr/>
            </w:pPr>
            <w:r>
              <w:rPr/>
              <w:t>Name: Maurice Amsellem</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614" w:type="dxa"/>
            <w:gridSpan w:val="2"/>
            <w:tcBorders/>
            <w:shd w:fill="auto" w:val="clear"/>
            <w:vAlign w:val="center"/>
          </w:tcPr>
          <w:p>
            <w:pPr>
              <w:pStyle w:val="TableContents"/>
              <w:spacing w:before="0" w:after="0"/>
              <w:rPr/>
            </w:pPr>
            <w:r>
              <w:rPr/>
              <w:t>Title: Authorized Signatory</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jc w:val="center"/>
        <w:rPr>
          <w:i/>
        </w:rPr>
      </w:pPr>
      <w:r>
        <w:rPr>
          <w:i/>
        </w:rPr>
        <w:t>Signature Page(s)</w:t>
      </w:r>
    </w:p>
    <w:p>
      <w:pPr>
        <w:pStyle w:val="TextBody"/>
        <w:spacing w:before="0" w:after="0"/>
        <w:rPr>
          <w:i w:val="false"/>
          <w:caps w:val="false"/>
          <w:smallCaps w:val="false"/>
        </w:rPr>
      </w:pPr>
      <w:r>
        <w:rPr>
          <w:i w:val="false"/>
          <w:caps w:val="false"/>
          <w:smallCaps w:val="false"/>
        </w:rPr>
      </w:r>
    </w:p>
    <w:p>
      <w:pPr>
        <w:pStyle w:val="Normal"/>
        <w:spacing w:before="0" w:after="0"/>
        <w:rPr>
          <w:sz w:val="4"/>
          <w:szCs w:val="4"/>
        </w:rPr>
      </w:pPr>
      <w:r>
        <w:rPr>
          <w:sz w:val="4"/>
          <w:szCs w:val="4"/>
        </w:rPr>
      </w:r>
      <w:bookmarkStart w:id="149" w:name="zd957f8450ae74c888d7099d8a78d1874"/>
      <w:bookmarkStart w:id="150" w:name="zd957f8450ae74c888d7099d8a78d1874"/>
      <w:bookmarkEnd w:id="150"/>
    </w:p>
    <w:tbl>
      <w:tblPr>
        <w:tblW w:w="2525" w:type="dxa"/>
        <w:jc w:val="left"/>
        <w:tblInd w:w="0" w:type="dxa"/>
        <w:tblCellMar>
          <w:top w:w="0" w:type="dxa"/>
          <w:left w:w="0" w:type="dxa"/>
          <w:bottom w:w="0" w:type="dxa"/>
          <w:right w:w="0" w:type="dxa"/>
        </w:tblCellMar>
      </w:tblPr>
      <w:tblGrid>
        <w:gridCol w:w="2525"/>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r>
    </w:tbl>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151" w:name="z74b1533065d143309c7f5e5afa4b790b"/>
      <w:bookmarkStart w:id="152" w:name="z74b1533065d143309c7f5e5afa4b790b"/>
      <w:bookmarkEnd w:id="152"/>
    </w:p>
    <w:tbl>
      <w:tblPr>
        <w:tblW w:w="8320" w:type="dxa"/>
        <w:jc w:val="left"/>
        <w:tblInd w:w="0" w:type="dxa"/>
        <w:tblCellMar>
          <w:top w:w="0" w:type="dxa"/>
          <w:left w:w="0" w:type="dxa"/>
          <w:bottom w:w="0" w:type="dxa"/>
          <w:right w:w="0" w:type="dxa"/>
        </w:tblCellMar>
      </w:tblPr>
      <w:tblGrid>
        <w:gridCol w:w="1265"/>
        <w:gridCol w:w="6995"/>
        <w:gridCol w:w="60"/>
      </w:tblGrid>
      <w:tr>
        <w:trPr/>
        <w:tc>
          <w:tcPr>
            <w:tcW w:w="1265" w:type="dxa"/>
            <w:tcBorders/>
            <w:shd w:fill="auto" w:val="clear"/>
            <w:vAlign w:val="center"/>
          </w:tcPr>
          <w:p>
            <w:pPr>
              <w:pStyle w:val="TableContents"/>
              <w:spacing w:before="0" w:after="0"/>
              <w:rPr>
                <w:b/>
              </w:rPr>
            </w:pPr>
            <w:r>
              <w:rPr>
                <w:b/>
              </w:rPr>
              <w:t>LENDERS:</w:t>
            </w:r>
          </w:p>
        </w:tc>
        <w:tc>
          <w:tcPr>
            <w:tcW w:w="7055" w:type="dxa"/>
            <w:gridSpan w:val="2"/>
            <w:tcBorders/>
            <w:shd w:fill="auto" w:val="clear"/>
            <w:vAlign w:val="center"/>
          </w:tcPr>
          <w:p>
            <w:pPr>
              <w:pStyle w:val="TableContents"/>
              <w:spacing w:before="0" w:after="0"/>
              <w:rPr>
                <w:b/>
              </w:rPr>
            </w:pPr>
            <w:r>
              <w:rPr>
                <w:b/>
              </w:rPr>
              <w:t>ELM 2020-3 TRUST</w:t>
            </w:r>
          </w:p>
        </w:tc>
      </w:tr>
      <w:tr>
        <w:trPr/>
        <w:tc>
          <w:tcPr>
            <w:tcW w:w="1265"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rPr/>
            </w:pPr>
            <w:r>
              <w:rPr/>
              <w:t>By:     MidCap Financial Services Capital Management, LLC, as Servicer</w:t>
            </w:r>
          </w:p>
        </w:tc>
        <w:tc>
          <w:tcPr>
            <w:tcW w:w="60" w:type="dxa"/>
            <w:tcBorders/>
            <w:shd w:fill="auto" w:val="clear"/>
            <w:vAlign w:val="center"/>
          </w:tcPr>
          <w:p>
            <w:pPr>
              <w:pStyle w:val="TableContents"/>
              <w:spacing w:before="0" w:after="283"/>
              <w:rPr/>
            </w:pPr>
            <w:r>
              <w:rPr/>
              <w:t> </w:t>
            </w:r>
          </w:p>
        </w:tc>
      </w:tr>
      <w:tr>
        <w:trPr/>
        <w:tc>
          <w:tcPr>
            <w:tcW w:w="1265"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bl>
    <w:p>
      <w:pPr>
        <w:pStyle w:val="Normal"/>
        <w:spacing w:before="0" w:after="0"/>
        <w:rPr>
          <w:sz w:val="4"/>
          <w:szCs w:val="4"/>
        </w:rPr>
      </w:pPr>
      <w:r>
        <w:rPr>
          <w:sz w:val="4"/>
          <w:szCs w:val="4"/>
        </w:rPr>
      </w:r>
      <w:bookmarkStart w:id="153" w:name="z91f0fe5924694b23a2e69aaa2221a99b"/>
      <w:bookmarkStart w:id="154" w:name="z91f0fe5924694b23a2e69aaa2221a99b"/>
      <w:bookmarkEnd w:id="154"/>
    </w:p>
    <w:tbl>
      <w:tblPr>
        <w:tblW w:w="7053" w:type="dxa"/>
        <w:jc w:val="left"/>
        <w:tblInd w:w="0" w:type="dxa"/>
        <w:tblCellMar>
          <w:top w:w="0" w:type="dxa"/>
          <w:left w:w="0" w:type="dxa"/>
          <w:bottom w:w="0" w:type="dxa"/>
          <w:right w:w="0" w:type="dxa"/>
        </w:tblCellMar>
      </w:tblPr>
      <w:tblGrid>
        <w:gridCol w:w="60"/>
        <w:gridCol w:w="1378"/>
        <w:gridCol w:w="5459"/>
        <w:gridCol w:w="156"/>
      </w:tblGrid>
      <w:tr>
        <w:trPr/>
        <w:tc>
          <w:tcPr>
            <w:tcW w:w="60" w:type="dxa"/>
            <w:tcBorders/>
            <w:shd w:fill="auto" w:val="clear"/>
            <w:vAlign w:val="center"/>
          </w:tcPr>
          <w:p>
            <w:pPr>
              <w:pStyle w:val="TableContents"/>
              <w:spacing w:before="0" w:after="283"/>
              <w:rPr/>
            </w:pPr>
            <w:r>
              <w:rPr/>
              <w:t> </w:t>
            </w:r>
          </w:p>
        </w:tc>
        <w:tc>
          <w:tcPr>
            <w:tcW w:w="1378" w:type="dxa"/>
            <w:tcBorders/>
            <w:shd w:fill="auto" w:val="clear"/>
            <w:vAlign w:val="center"/>
          </w:tcPr>
          <w:p>
            <w:pPr>
              <w:pStyle w:val="TableContents"/>
              <w:spacing w:before="0" w:after="283"/>
              <w:rPr/>
            </w:pPr>
            <w:r>
              <w:rPr/>
              <w:t>By:</w:t>
            </w:r>
          </w:p>
        </w:tc>
        <w:tc>
          <w:tcPr>
            <w:tcW w:w="5459" w:type="dxa"/>
            <w:tcBorders>
              <w:bottom w:val="single" w:sz="12" w:space="0" w:color="000000"/>
            </w:tcBorders>
            <w:shd w:fill="auto" w:val="clear"/>
            <w:tcMar>
              <w:bottom w:w="28" w:type="dxa"/>
            </w:tcMar>
            <w:vAlign w:val="center"/>
          </w:tcPr>
          <w:p>
            <w:pPr>
              <w:pStyle w:val="TableContents"/>
              <w:spacing w:before="0" w:after="283"/>
              <w:rPr/>
            </w:pPr>
            <w:r>
              <w:rPr/>
              <w:t>/s/ John O’Dea</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837" w:type="dxa"/>
            <w:gridSpan w:val="2"/>
            <w:tcBorders/>
            <w:shd w:fill="auto" w:val="clear"/>
            <w:vAlign w:val="center"/>
          </w:tcPr>
          <w:p>
            <w:pPr>
              <w:pStyle w:val="TableContents"/>
              <w:spacing w:before="0" w:after="0"/>
              <w:rPr/>
            </w:pPr>
            <w:r>
              <w:rPr/>
              <w:t>Name: John O’Dea</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837" w:type="dxa"/>
            <w:gridSpan w:val="2"/>
            <w:tcBorders/>
            <w:shd w:fill="auto" w:val="clear"/>
            <w:vAlign w:val="center"/>
          </w:tcPr>
          <w:p>
            <w:pPr>
              <w:pStyle w:val="TableContents"/>
              <w:spacing w:before="0" w:after="0"/>
              <w:rPr/>
            </w:pPr>
            <w:r>
              <w:rPr/>
              <w:t>Title: Authorized Signatory</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837" w:type="dxa"/>
            <w:gridSpan w:val="2"/>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993" w:type="dxa"/>
            <w:gridSpan w:val="3"/>
            <w:tcBorders/>
            <w:shd w:fill="auto" w:val="clear"/>
            <w:vAlign w:val="center"/>
          </w:tcPr>
          <w:p>
            <w:pPr>
              <w:pStyle w:val="TableContents"/>
              <w:spacing w:before="0" w:after="0"/>
              <w:rPr>
                <w:b/>
              </w:rPr>
            </w:pPr>
            <w:r>
              <w:rPr>
                <w:b/>
              </w:rPr>
              <w:t>ELM 2020-4 TRUST</w:t>
            </w:r>
          </w:p>
        </w:tc>
      </w:tr>
      <w:tr>
        <w:trPr/>
        <w:tc>
          <w:tcPr>
            <w:tcW w:w="60" w:type="dxa"/>
            <w:tcBorders/>
            <w:shd w:fill="auto" w:val="clear"/>
            <w:vAlign w:val="center"/>
          </w:tcPr>
          <w:p>
            <w:pPr>
              <w:pStyle w:val="TableContents"/>
              <w:spacing w:before="0" w:after="283"/>
              <w:rPr/>
            </w:pPr>
            <w:r>
              <w:rPr/>
              <w:t> </w:t>
            </w:r>
          </w:p>
        </w:tc>
        <w:tc>
          <w:tcPr>
            <w:tcW w:w="6837" w:type="dxa"/>
            <w:gridSpan w:val="2"/>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993" w:type="dxa"/>
            <w:gridSpan w:val="3"/>
            <w:tcBorders/>
            <w:shd w:fill="auto" w:val="clear"/>
            <w:vAlign w:val="center"/>
          </w:tcPr>
          <w:p>
            <w:pPr>
              <w:pStyle w:val="TableContents"/>
              <w:spacing w:before="0" w:after="0"/>
              <w:rPr/>
            </w:pPr>
            <w:r>
              <w:rPr/>
              <w:t>By:     MidCap Financial Services Capital Management, LLC, as Servicer</w:t>
            </w:r>
          </w:p>
        </w:tc>
      </w:tr>
      <w:tr>
        <w:trPr/>
        <w:tc>
          <w:tcPr>
            <w:tcW w:w="60" w:type="dxa"/>
            <w:tcBorders/>
            <w:shd w:fill="auto" w:val="clear"/>
            <w:vAlign w:val="center"/>
          </w:tcPr>
          <w:p>
            <w:pPr>
              <w:pStyle w:val="TableContents"/>
              <w:spacing w:before="0" w:after="283"/>
              <w:rPr/>
            </w:pPr>
            <w:r>
              <w:rPr/>
              <w:t> </w:t>
            </w:r>
          </w:p>
        </w:tc>
        <w:tc>
          <w:tcPr>
            <w:tcW w:w="6837" w:type="dxa"/>
            <w:gridSpan w:val="2"/>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378" w:type="dxa"/>
            <w:tcBorders/>
            <w:shd w:fill="auto" w:val="clear"/>
            <w:vAlign w:val="center"/>
          </w:tcPr>
          <w:p>
            <w:pPr>
              <w:pStyle w:val="TableContents"/>
              <w:spacing w:before="0" w:after="0"/>
              <w:rPr/>
            </w:pPr>
            <w:r>
              <w:rPr/>
              <w:t>By:</w:t>
            </w:r>
          </w:p>
        </w:tc>
        <w:tc>
          <w:tcPr>
            <w:tcW w:w="5459" w:type="dxa"/>
            <w:tcBorders>
              <w:bottom w:val="single" w:sz="12" w:space="0" w:color="000000"/>
            </w:tcBorders>
            <w:shd w:fill="auto" w:val="clear"/>
            <w:tcMar>
              <w:bottom w:w="28" w:type="dxa"/>
            </w:tcMar>
            <w:vAlign w:val="center"/>
          </w:tcPr>
          <w:p>
            <w:pPr>
              <w:pStyle w:val="TableContents"/>
              <w:spacing w:before="0" w:after="283"/>
              <w:rPr/>
            </w:pPr>
            <w:r>
              <w:rPr/>
              <w:t>/s/ John O’Dea</w:t>
            </w:r>
          </w:p>
        </w:tc>
        <w:tc>
          <w:tcPr>
            <w:tcW w:w="156"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993" w:type="dxa"/>
            <w:gridSpan w:val="3"/>
            <w:tcBorders/>
            <w:shd w:fill="auto" w:val="clear"/>
            <w:vAlign w:val="center"/>
          </w:tcPr>
          <w:p>
            <w:pPr>
              <w:pStyle w:val="TableContents"/>
              <w:spacing w:before="0" w:after="0"/>
              <w:rPr/>
            </w:pPr>
            <w:r>
              <w:rPr/>
              <w:t>Name: John O’Dea</w:t>
            </w:r>
          </w:p>
        </w:tc>
      </w:tr>
      <w:tr>
        <w:trPr/>
        <w:tc>
          <w:tcPr>
            <w:tcW w:w="60" w:type="dxa"/>
            <w:tcBorders/>
            <w:shd w:fill="auto" w:val="clear"/>
            <w:vAlign w:val="center"/>
          </w:tcPr>
          <w:p>
            <w:pPr>
              <w:pStyle w:val="TableContents"/>
              <w:spacing w:before="0" w:after="283"/>
              <w:rPr/>
            </w:pPr>
            <w:r>
              <w:rPr/>
              <w:t> </w:t>
            </w:r>
          </w:p>
        </w:tc>
        <w:tc>
          <w:tcPr>
            <w:tcW w:w="6993" w:type="dxa"/>
            <w:gridSpan w:val="3"/>
            <w:tcBorders/>
            <w:shd w:fill="auto" w:val="clear"/>
            <w:vAlign w:val="center"/>
          </w:tcPr>
          <w:p>
            <w:pPr>
              <w:pStyle w:val="TableContents"/>
              <w:spacing w:before="0" w:after="0"/>
              <w:rPr/>
            </w:pPr>
            <w:r>
              <w:rPr/>
              <w:t>Title: Authorized Signatory</w:t>
            </w:r>
          </w:p>
        </w:tc>
      </w:tr>
    </w:tbl>
    <w:p>
      <w:pPr>
        <w:pStyle w:val="TextBody"/>
        <w:spacing w:before="0" w:after="0"/>
        <w:rPr/>
      </w:pPr>
      <w:r>
        <w:rPr/>
      </w:r>
    </w:p>
    <w:p>
      <w:pPr>
        <w:pStyle w:val="TextBody"/>
        <w:spacing w:before="0" w:after="0"/>
        <w:jc w:val="center"/>
        <w:rPr>
          <w:i/>
          <w:color w:val="1A1A1A"/>
        </w:rPr>
      </w:pPr>
      <w:r>
        <w:rPr>
          <w:i/>
          <w:color w:val="1A1A1A"/>
        </w:rPr>
        <w:t>Signature Page(s)</w:t>
      </w:r>
    </w:p>
    <w:p>
      <w:pPr>
        <w:pStyle w:val="TextBody"/>
        <w:spacing w:before="0" w:after="0"/>
        <w:jc w:val="center"/>
        <w:rPr>
          <w:i/>
          <w:color w:val="1A1A1A"/>
        </w:rPr>
      </w:pPr>
      <w:r>
        <w:rPr>
          <w:i/>
          <w:color w:val="1A1A1A"/>
        </w:rPr>
      </w:r>
    </w:p>
    <w:p>
      <w:pPr>
        <w:pStyle w:val="Normal"/>
        <w:spacing w:before="0" w:after="0"/>
        <w:rPr>
          <w:sz w:val="4"/>
          <w:szCs w:val="4"/>
        </w:rPr>
      </w:pPr>
      <w:r>
        <w:rPr>
          <w:sz w:val="4"/>
          <w:szCs w:val="4"/>
        </w:rPr>
      </w:r>
      <w:bookmarkStart w:id="155" w:name="z1c52a8bcb6df4290bfbdc33ecb119ce7"/>
      <w:bookmarkStart w:id="156" w:name="z1c52a8bcb6df4290bfbdc33ecb119ce7"/>
      <w:bookmarkEnd w:id="156"/>
    </w:p>
    <w:tbl>
      <w:tblPr>
        <w:tblW w:w="2525" w:type="dxa"/>
        <w:jc w:val="left"/>
        <w:tblInd w:w="0" w:type="dxa"/>
        <w:tblCellMar>
          <w:top w:w="0" w:type="dxa"/>
          <w:left w:w="0" w:type="dxa"/>
          <w:bottom w:w="0" w:type="dxa"/>
          <w:right w:w="0" w:type="dxa"/>
        </w:tblCellMar>
      </w:tblPr>
      <w:tblGrid>
        <w:gridCol w:w="2525"/>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r>
    </w:tbl>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157" w:name="zab338565f7a548aca38bada1a314b316"/>
      <w:bookmarkStart w:id="158" w:name="zab338565f7a548aca38bada1a314b316"/>
      <w:bookmarkEnd w:id="158"/>
    </w:p>
    <w:tbl>
      <w:tblPr>
        <w:tblW w:w="3649" w:type="dxa"/>
        <w:jc w:val="left"/>
        <w:tblInd w:w="0" w:type="dxa"/>
        <w:tblCellMar>
          <w:top w:w="0" w:type="dxa"/>
          <w:left w:w="0" w:type="dxa"/>
          <w:bottom w:w="0" w:type="dxa"/>
          <w:right w:w="0" w:type="dxa"/>
        </w:tblCellMar>
      </w:tblPr>
      <w:tblGrid>
        <w:gridCol w:w="554"/>
        <w:gridCol w:w="3035"/>
        <w:gridCol w:w="60"/>
      </w:tblGrid>
      <w:tr>
        <w:trPr/>
        <w:tc>
          <w:tcPr>
            <w:tcW w:w="3589" w:type="dxa"/>
            <w:gridSpan w:val="2"/>
            <w:tcBorders/>
            <w:shd w:fill="auto" w:val="clear"/>
            <w:vAlign w:val="center"/>
          </w:tcPr>
          <w:p>
            <w:pPr>
              <w:pStyle w:val="TableContents"/>
              <w:spacing w:before="0" w:after="0"/>
              <w:rPr>
                <w:b/>
                <w:color w:val="1A1A1A"/>
              </w:rPr>
            </w:pPr>
            <w:r>
              <w:rPr>
                <w:b/>
                <w:color w:val="1A1A1A"/>
              </w:rPr>
              <w:t>BORROWER:</w:t>
            </w:r>
          </w:p>
        </w:tc>
        <w:tc>
          <w:tcPr>
            <w:tcW w:w="60" w:type="dxa"/>
            <w:tcBorders/>
            <w:shd w:fill="auto" w:val="clear"/>
            <w:vAlign w:val="center"/>
          </w:tcPr>
          <w:p>
            <w:pPr>
              <w:pStyle w:val="TableContents"/>
              <w:spacing w:before="0" w:after="283"/>
              <w:rPr/>
            </w:pPr>
            <w:r>
              <w:rPr/>
              <w:t> </w:t>
            </w:r>
          </w:p>
        </w:tc>
      </w:tr>
      <w:tr>
        <w:trPr/>
        <w:tc>
          <w:tcPr>
            <w:tcW w:w="358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3589" w:type="dxa"/>
            <w:gridSpan w:val="2"/>
            <w:tcBorders/>
            <w:shd w:fill="auto" w:val="clear"/>
            <w:vAlign w:val="center"/>
          </w:tcPr>
          <w:p>
            <w:pPr>
              <w:pStyle w:val="TableContents"/>
              <w:spacing w:before="0" w:after="0"/>
              <w:rPr>
                <w:b/>
                <w:color w:val="1A1A1A"/>
              </w:rPr>
            </w:pPr>
            <w:r>
              <w:rPr>
                <w:b/>
                <w:color w:val="1A1A1A"/>
              </w:rPr>
              <w:t>STRATA SKIN SCIENCES. INC.</w:t>
            </w:r>
          </w:p>
        </w:tc>
        <w:tc>
          <w:tcPr>
            <w:tcW w:w="60" w:type="dxa"/>
            <w:tcBorders/>
            <w:shd w:fill="auto" w:val="clear"/>
            <w:vAlign w:val="center"/>
          </w:tcPr>
          <w:p>
            <w:pPr>
              <w:pStyle w:val="TableContents"/>
              <w:spacing w:before="0" w:after="283"/>
              <w:rPr/>
            </w:pPr>
            <w:r>
              <w:rPr/>
              <w:t> </w:t>
            </w:r>
          </w:p>
        </w:tc>
      </w:tr>
      <w:tr>
        <w:trPr/>
        <w:tc>
          <w:tcPr>
            <w:tcW w:w="554" w:type="dxa"/>
            <w:tcBorders/>
            <w:shd w:fill="auto" w:val="clear"/>
            <w:vAlign w:val="center"/>
          </w:tcPr>
          <w:p>
            <w:pPr>
              <w:pStyle w:val="TableContents"/>
              <w:spacing w:before="0" w:after="0"/>
              <w:rPr>
                <w:color w:val="1A1A1A"/>
              </w:rPr>
            </w:pPr>
            <w:r>
              <w:rPr>
                <w:color w:val="1A1A1A"/>
              </w:rPr>
              <w:t>By:</w:t>
            </w:r>
          </w:p>
        </w:tc>
        <w:tc>
          <w:tcPr>
            <w:tcW w:w="3035" w:type="dxa"/>
            <w:tcBorders>
              <w:bottom w:val="single" w:sz="12" w:space="0" w:color="000000"/>
            </w:tcBorders>
            <w:shd w:fill="auto" w:val="clear"/>
            <w:tcMar>
              <w:bottom w:w="28" w:type="dxa"/>
            </w:tcMar>
            <w:vAlign w:val="center"/>
          </w:tcPr>
          <w:p>
            <w:pPr>
              <w:pStyle w:val="TableContents"/>
              <w:spacing w:before="0" w:after="0"/>
              <w:ind w:left="0" w:right="0" w:hanging="0"/>
              <w:rPr/>
            </w:pPr>
            <w:r>
              <w:rPr/>
              <w:t>Christopher Lesovitz</w:t>
            </w:r>
          </w:p>
        </w:tc>
        <w:tc>
          <w:tcPr>
            <w:tcW w:w="60" w:type="dxa"/>
            <w:tcBorders/>
            <w:shd w:fill="auto" w:val="clear"/>
            <w:vAlign w:val="center"/>
          </w:tcPr>
          <w:p>
            <w:pPr>
              <w:pStyle w:val="TableContents"/>
              <w:spacing w:before="0" w:after="283"/>
              <w:rPr/>
            </w:pPr>
            <w:r>
              <w:rPr/>
              <w:t> </w:t>
            </w:r>
          </w:p>
        </w:tc>
      </w:tr>
      <w:tr>
        <w:trPr/>
        <w:tc>
          <w:tcPr>
            <w:tcW w:w="3589" w:type="dxa"/>
            <w:gridSpan w:val="2"/>
            <w:tcBorders/>
            <w:shd w:fill="auto" w:val="clear"/>
            <w:vAlign w:val="center"/>
          </w:tcPr>
          <w:p>
            <w:pPr>
              <w:pStyle w:val="TableContents"/>
              <w:spacing w:before="0" w:after="0"/>
              <w:ind w:left="0" w:right="0" w:hanging="0"/>
              <w:rPr>
                <w:color w:val="1A1A1A"/>
              </w:rPr>
            </w:pPr>
            <w:r>
              <w:rPr>
                <w:color w:val="1A1A1A"/>
              </w:rPr>
              <w:t>Name: Christopher Lesovitz</w:t>
            </w:r>
          </w:p>
        </w:tc>
        <w:tc>
          <w:tcPr>
            <w:tcW w:w="60" w:type="dxa"/>
            <w:tcBorders/>
            <w:shd w:fill="auto" w:val="clear"/>
            <w:vAlign w:val="center"/>
          </w:tcPr>
          <w:p>
            <w:pPr>
              <w:pStyle w:val="TableContents"/>
              <w:spacing w:before="0" w:after="283"/>
              <w:rPr/>
            </w:pPr>
            <w:r>
              <w:rPr/>
              <w:t> </w:t>
            </w:r>
          </w:p>
        </w:tc>
      </w:tr>
      <w:tr>
        <w:trPr/>
        <w:tc>
          <w:tcPr>
            <w:tcW w:w="3589" w:type="dxa"/>
            <w:gridSpan w:val="2"/>
            <w:tcBorders/>
            <w:shd w:fill="auto" w:val="clear"/>
            <w:vAlign w:val="center"/>
          </w:tcPr>
          <w:p>
            <w:pPr>
              <w:pStyle w:val="TableContents"/>
              <w:spacing w:before="0" w:after="0"/>
              <w:rPr>
                <w:color w:val="1A1A1A"/>
              </w:rPr>
            </w:pPr>
            <w:r>
              <w:rPr>
                <w:color w:val="1A1A1A"/>
              </w:rPr>
              <w:t>Title: CFO</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i/>
          <w:color w:val="1A1A1A"/>
        </w:rPr>
      </w:pPr>
      <w:r>
        <w:rPr>
          <w:i/>
          <w:color w:val="1A1A1A"/>
        </w:rPr>
        <w:t>Signature Page(s)</w:t>
      </w:r>
    </w:p>
    <w:p>
      <w:pPr>
        <w:pStyle w:val="TextBody"/>
        <w:spacing w:before="0" w:after="0"/>
        <w:jc w:val="center"/>
        <w:rPr>
          <w:i/>
          <w:color w:val="1A1A1A"/>
        </w:rPr>
      </w:pPr>
      <w:r>
        <w:rPr>
          <w:i/>
          <w:color w:val="1A1A1A"/>
        </w:rPr>
      </w:r>
    </w:p>
    <w:p>
      <w:pPr>
        <w:pStyle w:val="TextBody"/>
        <w:spacing w:before="0" w:after="0"/>
        <w:jc w:val="center"/>
        <w:rPr>
          <w:i/>
          <w:color w:val="1A1A1A"/>
        </w:rPr>
      </w:pPr>
      <w:r>
        <w:rPr>
          <w:i/>
          <w:color w:val="1A1A1A"/>
        </w:rPr>
      </w:r>
    </w:p>
    <w:p>
      <w:pPr>
        <w:pStyle w:val="Normal"/>
        <w:spacing w:before="0" w:after="0"/>
        <w:rPr>
          <w:sz w:val="4"/>
          <w:szCs w:val="4"/>
        </w:rPr>
      </w:pPr>
      <w:r>
        <w:rPr>
          <w:sz w:val="4"/>
          <w:szCs w:val="4"/>
        </w:rPr>
      </w:r>
      <w:bookmarkStart w:id="159" w:name="z21e263e9a0ad4a8abe3ccf7cd474293a"/>
      <w:bookmarkStart w:id="160" w:name="z21e263e9a0ad4a8abe3ccf7cd474293a"/>
      <w:bookmarkEnd w:id="160"/>
    </w:p>
    <w:tbl>
      <w:tblPr>
        <w:tblW w:w="2525" w:type="dxa"/>
        <w:jc w:val="center"/>
        <w:tblInd w:w="0" w:type="dxa"/>
        <w:tblCellMar>
          <w:top w:w="0" w:type="dxa"/>
          <w:left w:w="0" w:type="dxa"/>
          <w:bottom w:w="0" w:type="dxa"/>
          <w:right w:w="0" w:type="dxa"/>
        </w:tblCellMar>
      </w:tblPr>
      <w:tblGrid>
        <w:gridCol w:w="2525"/>
      </w:tblGrid>
      <w:tr>
        <w:trPr/>
        <w:tc>
          <w:tcPr>
            <w:tcW w:w="2525" w:type="dxa"/>
            <w:tcBorders/>
            <w:shd w:fill="auto" w:val="clear"/>
            <w:vAlign w:val="center"/>
          </w:tcPr>
          <w:p>
            <w:pPr>
              <w:pStyle w:val="TableContents"/>
              <w:spacing w:before="0" w:after="0"/>
              <w:ind w:left="20" w:right="0" w:hanging="0"/>
              <w:jc w:val="left"/>
              <w:rPr>
                <w:sz w:val="16"/>
              </w:rPr>
            </w:pPr>
            <w:r>
              <w:rPr>
                <w:sz w:val="16"/>
              </w:rPr>
              <w:t>MidCap / Strata / Amendment No. 2</w:t>
            </w:r>
          </w:p>
        </w:tc>
      </w:tr>
    </w:tbl>
    <w:p>
      <w:pPr>
        <w:pStyle w:val="HorizontalLine"/>
        <w:pBdr>
          <w:bottom w:val="single" w:sz="20" w:space="0" w:color="808080"/>
        </w:pBdr>
        <w:rPr/>
      </w:pPr>
      <w:r>
        <w:rPr/>
      </w:r>
      <w:r>
        <w:br w:type="page"/>
      </w:r>
    </w:p>
    <w:p>
      <w:pPr>
        <w:pStyle w:val="HorizontalLine"/>
        <w:pBdr>
          <w:bottom w:val="single" w:sz="20" w:space="0" w:color="808080"/>
        </w:pBdr>
        <w:rPr/>
      </w:pPr>
      <w:r>
        <w:rPr/>
      </w:r>
      <w:bookmarkStart w:id="161" w:name="brhc10049943_ex23-1.htm"/>
      <w:bookmarkStart w:id="162" w:name="ksbrhc10049943_ex231"/>
      <w:bookmarkStart w:id="163" w:name="brhc10049943_ex23-1.htm"/>
      <w:bookmarkStart w:id="164" w:name="ksbrhc10049943_ex231"/>
      <w:bookmarkEnd w:id="163"/>
      <w:bookmarkEnd w:id="164"/>
    </w:p>
    <w:p>
      <w:pPr>
        <w:pStyle w:val="TextBody"/>
        <w:spacing w:before="0" w:after="0"/>
        <w:jc w:val="right"/>
        <w:rPr>
          <w:b/>
          <w:sz w:val="20"/>
        </w:rPr>
      </w:pPr>
      <w:r>
        <w:rPr>
          <w:b/>
          <w:sz w:val="20"/>
        </w:rPr>
        <w:t>Exhibit 23.1</w:t>
      </w:r>
    </w:p>
    <w:p>
      <w:pPr>
        <w:pStyle w:val="TextBody"/>
        <w:spacing w:before="0" w:after="0"/>
        <w:rPr>
          <w:sz w:val="20"/>
        </w:rPr>
      </w:pPr>
      <w:r>
        <w:rPr>
          <w:sz w:val="20"/>
        </w:rPr>
      </w:r>
    </w:p>
    <w:p>
      <w:pPr>
        <w:pStyle w:val="TextBody"/>
        <w:spacing w:before="0" w:after="0"/>
        <w:jc w:val="center"/>
        <w:rPr>
          <w:rFonts w:ascii="Times New Roman" w:hAnsi="Times New Roman"/>
          <w:sz w:val="20"/>
          <w:u w:val="single"/>
        </w:rPr>
      </w:pPr>
      <w:r>
        <w:rPr>
          <w:rFonts w:ascii="Times New Roman" w:hAnsi="Times New Roman"/>
          <w:sz w:val="20"/>
          <w:u w:val="single"/>
        </w:rPr>
        <w:t>INDEPENDENT REGISTERED PUBLIC ACCOUNTING FIRM’S CONSENT</w:t>
      </w:r>
    </w:p>
    <w:p>
      <w:pPr>
        <w:pStyle w:val="TextBody"/>
        <w:spacing w:before="0" w:after="0"/>
        <w:rPr>
          <w:sz w:val="20"/>
        </w:rPr>
      </w:pPr>
      <w:r>
        <w:rPr>
          <w:sz w:val="20"/>
        </w:rPr>
      </w:r>
    </w:p>
    <w:p>
      <w:pPr>
        <w:pStyle w:val="TextBody"/>
        <w:spacing w:lineRule="auto" w:line="240" w:before="0" w:after="0"/>
        <w:jc w:val="both"/>
        <w:rPr>
          <w:rFonts w:ascii="Times New Roman" w:hAnsi="Times New Roman"/>
          <w:sz w:val="20"/>
        </w:rPr>
      </w:pPr>
      <w:r>
        <w:rPr>
          <w:rFonts w:ascii="Times New Roman" w:hAnsi="Times New Roman"/>
          <w:sz w:val="20"/>
        </w:rPr>
        <w:t>We consent to the incorporation by reference in the Registration Statement of STRATA Skin Sciences, Inc. and Subsidiary on Amendment No. 1 to Form S-3 on Form S-1 (File No.’s 333-205797 and 333-226296), Form S-3 (File No.’s 333-262150, 333-261090 and 333-258814) and Form S-8 (File No.’s 333-257867) of our report dated March 31, 2023, with respect to our audits of the consolidated financial statements of STRATA Skin Sciences, Inc. and Subsidiary as of December 31, 2022 and 2021 and for the years ended December 31, 2022 and 2021, which report is included in this Annual Report on Form 10-K of STRATA Skin Sciences, Inc. for the year ended December 31, 2022.</w:t>
      </w:r>
    </w:p>
    <w:p>
      <w:pPr>
        <w:pStyle w:val="TextBody"/>
        <w:spacing w:before="0" w:after="0"/>
        <w:rPr>
          <w:sz w:val="20"/>
        </w:rPr>
      </w:pPr>
      <w:r>
        <w:rPr>
          <w:sz w:val="20"/>
        </w:rPr>
      </w:r>
    </w:p>
    <w:p>
      <w:pPr>
        <w:pStyle w:val="TextBody"/>
        <w:spacing w:before="0" w:after="0"/>
        <w:jc w:val="left"/>
        <w:rPr>
          <w:rFonts w:ascii="Times New Roman" w:hAnsi="Times New Roman"/>
          <w:sz w:val="20"/>
        </w:rPr>
      </w:pPr>
      <w:r>
        <w:rPr>
          <w:rFonts w:ascii="Times New Roman" w:hAnsi="Times New Roman"/>
          <w:sz w:val="20"/>
        </w:rPr>
        <w:t>/s/ Marcum LLP</w:t>
      </w:r>
    </w:p>
    <w:p>
      <w:pPr>
        <w:pStyle w:val="TextBody"/>
        <w:spacing w:before="0" w:after="0"/>
        <w:rPr>
          <w:sz w:val="20"/>
        </w:rPr>
      </w:pPr>
      <w:r>
        <w:rPr>
          <w:sz w:val="20"/>
        </w:rPr>
      </w:r>
    </w:p>
    <w:p>
      <w:pPr>
        <w:pStyle w:val="TextBody"/>
        <w:spacing w:before="0" w:after="0"/>
        <w:jc w:val="left"/>
        <w:rPr>
          <w:rFonts w:ascii="Times New Roman" w:hAnsi="Times New Roman"/>
          <w:sz w:val="20"/>
        </w:rPr>
      </w:pPr>
      <w:r>
        <w:rPr>
          <w:rFonts w:ascii="Times New Roman" w:hAnsi="Times New Roman"/>
          <w:sz w:val="20"/>
        </w:rPr>
        <w:t>Marcum LLP</w:t>
      </w:r>
    </w:p>
    <w:p>
      <w:pPr>
        <w:pStyle w:val="TextBody"/>
        <w:spacing w:before="0" w:after="0"/>
        <w:jc w:val="left"/>
        <w:rPr>
          <w:rFonts w:ascii="Times New Roman" w:hAnsi="Times New Roman"/>
          <w:sz w:val="20"/>
        </w:rPr>
      </w:pPr>
      <w:r>
        <w:rPr>
          <w:rFonts w:ascii="Times New Roman" w:hAnsi="Times New Roman"/>
          <w:sz w:val="20"/>
        </w:rPr>
        <w:t>Philadelphia, Pennsylvania</w:t>
      </w:r>
    </w:p>
    <w:p>
      <w:pPr>
        <w:pStyle w:val="TextBody"/>
        <w:spacing w:before="0" w:after="0"/>
        <w:jc w:val="left"/>
        <w:rPr>
          <w:rFonts w:ascii="Times New Roman" w:hAnsi="Times New Roman"/>
          <w:sz w:val="20"/>
        </w:rPr>
      </w:pPr>
      <w:r>
        <w:rPr>
          <w:rFonts w:ascii="Times New Roman" w:hAnsi="Times New Roman"/>
          <w:sz w:val="20"/>
        </w:rPr>
        <w:t>March 31, 2023</w:t>
      </w:r>
    </w:p>
    <w:p>
      <w:pPr>
        <w:pStyle w:val="TextBody"/>
        <w:spacing w:before="0" w:after="0"/>
        <w:jc w:val="left"/>
        <w:rPr>
          <w:sz w:val="20"/>
        </w:rPr>
      </w:pPr>
      <w:r>
        <w:rPr>
          <w:sz w:val="20"/>
        </w:rPr>
      </w:r>
    </w:p>
    <w:p>
      <w:pPr>
        <w:pStyle w:val="TextBody"/>
        <w:spacing w:before="0" w:after="0"/>
        <w:rPr>
          <w:sz w:val="20"/>
        </w:rPr>
      </w:pPr>
      <w:r>
        <w:rPr>
          <w:sz w:val="20"/>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65" w:name="brhc10049943_ex31-1.htm"/>
      <w:bookmarkStart w:id="166" w:name="ksbrhc10049943_ex311"/>
      <w:bookmarkStart w:id="167" w:name="brhc10049943_ex31-1.htm"/>
      <w:bookmarkStart w:id="168" w:name="ksbrhc10049943_ex311"/>
      <w:bookmarkEnd w:id="167"/>
      <w:bookmarkEnd w:id="168"/>
    </w:p>
    <w:p>
      <w:pPr>
        <w:pStyle w:val="TextBody"/>
        <w:spacing w:before="0" w:after="0"/>
        <w:ind w:left="0" w:right="0" w:firstLine="720"/>
        <w:jc w:val="right"/>
        <w:rPr>
          <w:rFonts w:ascii="Times New Roman" w:hAnsi="Times New Roman"/>
          <w:b/>
          <w:sz w:val="20"/>
          <w:u w:val="single"/>
        </w:rPr>
      </w:pPr>
      <w:r>
        <w:rPr>
          <w:rFonts w:ascii="Times New Roman" w:hAnsi="Times New Roman"/>
          <w:b/>
          <w:sz w:val="20"/>
          <w:u w:val="single"/>
        </w:rPr>
        <w:t>Exhibit 31.1</w:t>
      </w:r>
    </w:p>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CERTIFICATION OF CHIEF EXECUTIVE OFFICER</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 Robert Moccia, certify that:</w:t>
      </w:r>
    </w:p>
    <w:p>
      <w:pPr>
        <w:pStyle w:val="TextBody"/>
        <w:spacing w:before="0" w:after="0"/>
        <w:rPr/>
      </w:pPr>
      <w:r>
        <w:rPr/>
        <w:t> </w:t>
      </w:r>
    </w:p>
    <w:p>
      <w:pPr>
        <w:pStyle w:val="Normal"/>
        <w:spacing w:before="0" w:after="0"/>
        <w:rPr>
          <w:sz w:val="4"/>
          <w:szCs w:val="4"/>
        </w:rPr>
      </w:pPr>
      <w:r>
        <w:rPr>
          <w:sz w:val="4"/>
          <w:szCs w:val="4"/>
        </w:rPr>
      </w:r>
      <w:bookmarkStart w:id="169" w:name="zc0e4a5e3f9f94bbb91acd66ea3951a5d"/>
      <w:bookmarkStart w:id="170" w:name="zc0e4a5e3f9f94bbb91acd66ea3951a5d"/>
      <w:bookmarkEnd w:id="170"/>
    </w:p>
    <w:tbl>
      <w:tblPr>
        <w:tblW w:w="6858" w:type="dxa"/>
        <w:jc w:val="left"/>
        <w:tblInd w:w="0" w:type="dxa"/>
        <w:tblCellMar>
          <w:top w:w="0" w:type="dxa"/>
          <w:left w:w="0" w:type="dxa"/>
          <w:bottom w:w="0" w:type="dxa"/>
          <w:right w:w="0" w:type="dxa"/>
        </w:tblCellMar>
      </w:tblPr>
      <w:tblGrid>
        <w:gridCol w:w="38"/>
        <w:gridCol w:w="245"/>
        <w:gridCol w:w="6575"/>
      </w:tblGrid>
      <w:tr>
        <w:trPr/>
        <w:tc>
          <w:tcPr>
            <w:tcW w:w="38" w:type="dxa"/>
            <w:tcBorders/>
            <w:shd w:fill="auto" w:val="clear"/>
            <w:vAlign w:val="center"/>
          </w:tcPr>
          <w:p>
            <w:pPr>
              <w:pStyle w:val="TableContents"/>
              <w:spacing w:before="0" w:after="283"/>
              <w:rPr/>
            </w:pPr>
            <w:r>
              <w:rPr/>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5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 of STRATA Skin Sciences, Inc.;</w:t>
            </w:r>
          </w:p>
        </w:tc>
      </w:tr>
    </w:tbl>
    <w:p>
      <w:pPr>
        <w:pStyle w:val="TextBody"/>
        <w:spacing w:before="0" w:after="0"/>
        <w:rPr/>
      </w:pPr>
      <w:r>
        <w:rPr/>
        <w:t> </w:t>
      </w:r>
    </w:p>
    <w:p>
      <w:pPr>
        <w:pStyle w:val="Normal"/>
        <w:spacing w:before="0" w:after="0"/>
        <w:rPr>
          <w:sz w:val="4"/>
          <w:szCs w:val="4"/>
        </w:rPr>
      </w:pPr>
      <w:r>
        <w:rPr>
          <w:sz w:val="4"/>
          <w:szCs w:val="4"/>
        </w:rPr>
      </w:r>
      <w:bookmarkStart w:id="171" w:name="ze4663460268442a797b196133a3acb58"/>
      <w:bookmarkStart w:id="172" w:name="ze4663460268442a797b196133a3acb58"/>
      <w:bookmarkEnd w:id="172"/>
    </w:p>
    <w:tbl>
      <w:tblPr>
        <w:tblW w:w="10205" w:type="dxa"/>
        <w:jc w:val="left"/>
        <w:tblInd w:w="0" w:type="dxa"/>
        <w:tblCellMar>
          <w:top w:w="0" w:type="dxa"/>
          <w:left w:w="0" w:type="dxa"/>
          <w:bottom w:w="0" w:type="dxa"/>
          <w:right w:w="0" w:type="dxa"/>
        </w:tblCellMar>
      </w:tblPr>
      <w:tblGrid>
        <w:gridCol w:w="38"/>
        <w:gridCol w:w="208"/>
        <w:gridCol w:w="9959"/>
      </w:tblGrid>
      <w:tr>
        <w:trPr/>
        <w:tc>
          <w:tcPr>
            <w:tcW w:w="38" w:type="dxa"/>
            <w:tcBorders/>
            <w:shd w:fill="auto" w:val="clear"/>
            <w:vAlign w:val="center"/>
          </w:tcPr>
          <w:p>
            <w:pPr>
              <w:pStyle w:val="TableContents"/>
              <w:spacing w:before="0" w:after="283"/>
              <w:rPr/>
            </w:pPr>
            <w:r>
              <w:rPr/>
            </w:r>
          </w:p>
        </w:tc>
        <w:tc>
          <w:tcPr>
            <w:tcW w:w="20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5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p>
      <w:pPr>
        <w:pStyle w:val="Normal"/>
        <w:spacing w:before="0" w:after="0"/>
        <w:rPr>
          <w:sz w:val="4"/>
          <w:szCs w:val="4"/>
        </w:rPr>
      </w:pPr>
      <w:r>
        <w:rPr>
          <w:sz w:val="4"/>
          <w:szCs w:val="4"/>
        </w:rPr>
      </w:r>
      <w:bookmarkStart w:id="173" w:name="z171aa1e5d493453488cb463f342152b6"/>
      <w:bookmarkStart w:id="174" w:name="z171aa1e5d493453488cb463f342152b6"/>
      <w:bookmarkEnd w:id="174"/>
    </w:p>
    <w:tbl>
      <w:tblPr>
        <w:tblW w:w="10205" w:type="dxa"/>
        <w:jc w:val="left"/>
        <w:tblInd w:w="0" w:type="dxa"/>
        <w:tblCellMar>
          <w:top w:w="0" w:type="dxa"/>
          <w:left w:w="0" w:type="dxa"/>
          <w:bottom w:w="0" w:type="dxa"/>
          <w:right w:w="0" w:type="dxa"/>
        </w:tblCellMar>
      </w:tblPr>
      <w:tblGrid>
        <w:gridCol w:w="38"/>
        <w:gridCol w:w="210"/>
        <w:gridCol w:w="9957"/>
      </w:tblGrid>
      <w:tr>
        <w:trPr/>
        <w:tc>
          <w:tcPr>
            <w:tcW w:w="38" w:type="dxa"/>
            <w:tcBorders/>
            <w:shd w:fill="auto" w:val="clear"/>
            <w:vAlign w:val="center"/>
          </w:tcPr>
          <w:p>
            <w:pPr>
              <w:pStyle w:val="TableContents"/>
              <w:spacing w:before="0" w:after="283"/>
              <w:rPr/>
            </w:pPr>
            <w:r>
              <w:rPr/>
            </w:r>
          </w:p>
        </w:tc>
        <w:tc>
          <w:tcPr>
            <w:tcW w:w="21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99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p>
      <w:pPr>
        <w:pStyle w:val="Normal"/>
        <w:spacing w:before="0" w:after="0"/>
        <w:rPr>
          <w:sz w:val="4"/>
          <w:szCs w:val="4"/>
        </w:rPr>
      </w:pPr>
      <w:r>
        <w:rPr>
          <w:sz w:val="4"/>
          <w:szCs w:val="4"/>
        </w:rPr>
      </w:r>
      <w:bookmarkStart w:id="175" w:name="z96210cd5743e4c71b2c35886c21e9cbf"/>
      <w:bookmarkStart w:id="176" w:name="z96210cd5743e4c71b2c35886c21e9cbf"/>
      <w:bookmarkEnd w:id="176"/>
    </w:p>
    <w:tbl>
      <w:tblPr>
        <w:tblW w:w="10205" w:type="dxa"/>
        <w:jc w:val="left"/>
        <w:tblInd w:w="0" w:type="dxa"/>
        <w:tblCellMar>
          <w:top w:w="0" w:type="dxa"/>
          <w:left w:w="0" w:type="dxa"/>
          <w:bottom w:w="0" w:type="dxa"/>
          <w:right w:w="0" w:type="dxa"/>
        </w:tblCellMar>
      </w:tblPr>
      <w:tblGrid>
        <w:gridCol w:w="38"/>
        <w:gridCol w:w="206"/>
        <w:gridCol w:w="9961"/>
      </w:tblGrid>
      <w:tr>
        <w:trPr/>
        <w:tc>
          <w:tcPr>
            <w:tcW w:w="38" w:type="dxa"/>
            <w:tcBorders/>
            <w:shd w:fill="auto" w:val="clear"/>
            <w:vAlign w:val="center"/>
          </w:tcPr>
          <w:p>
            <w:pPr>
              <w:pStyle w:val="TableContents"/>
              <w:spacing w:before="0" w:after="283"/>
              <w:rPr/>
            </w:pPr>
            <w:r>
              <w:rPr/>
            </w:r>
          </w:p>
        </w:tc>
        <w:tc>
          <w:tcPr>
            <w:tcW w:w="20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996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p>
      <w:pPr>
        <w:pStyle w:val="Normal"/>
        <w:spacing w:before="0" w:after="0"/>
        <w:rPr>
          <w:sz w:val="4"/>
          <w:szCs w:val="4"/>
        </w:rPr>
      </w:pPr>
      <w:r>
        <w:rPr>
          <w:sz w:val="4"/>
          <w:szCs w:val="4"/>
        </w:rPr>
      </w:r>
      <w:bookmarkStart w:id="177" w:name="za7816d80badf42ceb691ccfd06440322"/>
      <w:bookmarkStart w:id="178" w:name="za7816d80badf42ceb691ccfd06440322"/>
      <w:bookmarkEnd w:id="178"/>
    </w:p>
    <w:tbl>
      <w:tblPr>
        <w:tblW w:w="10205" w:type="dxa"/>
        <w:jc w:val="left"/>
        <w:tblInd w:w="0" w:type="dxa"/>
        <w:tblCellMar>
          <w:top w:w="0" w:type="dxa"/>
          <w:left w:w="0" w:type="dxa"/>
          <w:bottom w:w="0" w:type="dxa"/>
          <w:right w:w="0" w:type="dxa"/>
        </w:tblCellMar>
      </w:tblPr>
      <w:tblGrid>
        <w:gridCol w:w="38"/>
        <w:gridCol w:w="189"/>
        <w:gridCol w:w="9978"/>
      </w:tblGrid>
      <w:tr>
        <w:trPr/>
        <w:tc>
          <w:tcPr>
            <w:tcW w:w="38" w:type="dxa"/>
            <w:tcBorders/>
            <w:shd w:fill="auto" w:val="clear"/>
            <w:vAlign w:val="center"/>
          </w:tcPr>
          <w:p>
            <w:pPr>
              <w:pStyle w:val="TableContents"/>
              <w:spacing w:before="0" w:after="283"/>
              <w:rPr/>
            </w:pPr>
            <w:r>
              <w:rPr/>
            </w:r>
          </w:p>
        </w:tc>
        <w:tc>
          <w:tcPr>
            <w:tcW w:w="18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7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p>
      <w:pPr>
        <w:pStyle w:val="Normal"/>
        <w:spacing w:before="0" w:after="0"/>
        <w:rPr>
          <w:sz w:val="4"/>
          <w:szCs w:val="4"/>
        </w:rPr>
      </w:pPr>
      <w:r>
        <w:rPr>
          <w:sz w:val="4"/>
          <w:szCs w:val="4"/>
        </w:rPr>
      </w:r>
      <w:bookmarkStart w:id="179" w:name="z48e4609bf6ce4ce7a1e26b2b00539f6f"/>
      <w:bookmarkStart w:id="180" w:name="z48e4609bf6ce4ce7a1e26b2b00539f6f"/>
      <w:bookmarkEnd w:id="180"/>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pPr>
            <w:r>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p>
      <w:pPr>
        <w:pStyle w:val="Normal"/>
        <w:spacing w:before="0" w:after="0"/>
        <w:rPr>
          <w:sz w:val="4"/>
          <w:szCs w:val="4"/>
        </w:rPr>
      </w:pPr>
      <w:r>
        <w:rPr>
          <w:sz w:val="4"/>
          <w:szCs w:val="4"/>
        </w:rPr>
      </w:r>
      <w:bookmarkStart w:id="181" w:name="zea39b6c6f7e64fa3974d5eef8bee3880"/>
      <w:bookmarkStart w:id="182" w:name="zea39b6c6f7e64fa3974d5eef8bee3880"/>
      <w:bookmarkEnd w:id="182"/>
    </w:p>
    <w:tbl>
      <w:tblPr>
        <w:tblW w:w="10205" w:type="dxa"/>
        <w:jc w:val="left"/>
        <w:tblInd w:w="0" w:type="dxa"/>
        <w:tblCellMar>
          <w:top w:w="0" w:type="dxa"/>
          <w:left w:w="0" w:type="dxa"/>
          <w:bottom w:w="0" w:type="dxa"/>
          <w:right w:w="0" w:type="dxa"/>
        </w:tblCellMar>
      </w:tblPr>
      <w:tblGrid>
        <w:gridCol w:w="38"/>
        <w:gridCol w:w="195"/>
        <w:gridCol w:w="9972"/>
      </w:tblGrid>
      <w:tr>
        <w:trPr/>
        <w:tc>
          <w:tcPr>
            <w:tcW w:w="38" w:type="dxa"/>
            <w:tcBorders/>
            <w:shd w:fill="auto" w:val="clear"/>
            <w:vAlign w:val="center"/>
          </w:tcPr>
          <w:p>
            <w:pPr>
              <w:pStyle w:val="TableContents"/>
              <w:spacing w:before="0" w:after="283"/>
              <w:rPr/>
            </w:pPr>
            <w:r>
              <w:rPr/>
            </w:r>
          </w:p>
        </w:tc>
        <w:tc>
          <w:tcPr>
            <w:tcW w:w="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w:t>
            </w:r>
          </w:p>
        </w:tc>
        <w:tc>
          <w:tcPr>
            <w:tcW w:w="997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p>
      <w:pPr>
        <w:pStyle w:val="Normal"/>
        <w:spacing w:before="0" w:after="0"/>
        <w:rPr>
          <w:sz w:val="4"/>
          <w:szCs w:val="4"/>
        </w:rPr>
      </w:pPr>
      <w:r>
        <w:rPr>
          <w:sz w:val="4"/>
          <w:szCs w:val="4"/>
        </w:rPr>
      </w:r>
      <w:bookmarkStart w:id="183" w:name="z7c5fbae7cb094e22a23b19e44adffb31"/>
      <w:bookmarkStart w:id="184" w:name="z7c5fbae7cb094e22a23b19e44adffb31"/>
      <w:bookmarkEnd w:id="184"/>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pPr>
            <w:r>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t> </w:t>
      </w:r>
    </w:p>
    <w:p>
      <w:pPr>
        <w:pStyle w:val="Normal"/>
        <w:spacing w:before="0" w:after="0"/>
        <w:rPr>
          <w:sz w:val="4"/>
          <w:szCs w:val="4"/>
        </w:rPr>
      </w:pPr>
      <w:r>
        <w:rPr>
          <w:sz w:val="4"/>
          <w:szCs w:val="4"/>
        </w:rPr>
      </w:r>
      <w:bookmarkStart w:id="185" w:name="z515ec1a6702549cbb4874b4bfc4c60aa"/>
      <w:bookmarkStart w:id="186" w:name="z515ec1a6702549cbb4874b4bfc4c60aa"/>
      <w:bookmarkEnd w:id="186"/>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pPr>
            <w:r>
              <w:rPr/>
            </w:r>
          </w:p>
        </w:tc>
        <w:tc>
          <w:tcPr>
            <w:tcW w:w="20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(5)</w:t>
            </w:r>
          </w:p>
        </w:tc>
        <w:tc>
          <w:tcPr>
            <w:tcW w:w="995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t> </w:t>
      </w:r>
    </w:p>
    <w:p>
      <w:pPr>
        <w:pStyle w:val="Normal"/>
        <w:spacing w:before="0" w:after="0"/>
        <w:rPr>
          <w:sz w:val="4"/>
          <w:szCs w:val="4"/>
        </w:rPr>
      </w:pPr>
      <w:r>
        <w:rPr>
          <w:sz w:val="4"/>
          <w:szCs w:val="4"/>
        </w:rPr>
      </w:r>
      <w:bookmarkStart w:id="187" w:name="zd57862fc8ac34cea802ecec7bfa32787"/>
      <w:bookmarkStart w:id="188" w:name="zd57862fc8ac34cea802ecec7bfa32787"/>
      <w:bookmarkEnd w:id="188"/>
    </w:p>
    <w:tbl>
      <w:tblPr>
        <w:tblW w:w="10205" w:type="dxa"/>
        <w:jc w:val="left"/>
        <w:tblInd w:w="0" w:type="dxa"/>
        <w:tblCellMar>
          <w:top w:w="0" w:type="dxa"/>
          <w:left w:w="0" w:type="dxa"/>
          <w:bottom w:w="0" w:type="dxa"/>
          <w:right w:w="0" w:type="dxa"/>
        </w:tblCellMar>
      </w:tblPr>
      <w:tblGrid>
        <w:gridCol w:w="38"/>
        <w:gridCol w:w="196"/>
        <w:gridCol w:w="9971"/>
      </w:tblGrid>
      <w:tr>
        <w:trPr/>
        <w:tc>
          <w:tcPr>
            <w:tcW w:w="38" w:type="dxa"/>
            <w:tcBorders/>
            <w:shd w:fill="auto" w:val="clear"/>
            <w:vAlign w:val="center"/>
          </w:tcPr>
          <w:p>
            <w:pPr>
              <w:pStyle w:val="TableContents"/>
              <w:spacing w:before="0" w:after="283"/>
              <w:rPr/>
            </w:pPr>
            <w:r>
              <w:rPr/>
            </w:r>
          </w:p>
        </w:tc>
        <w:tc>
          <w:tcPr>
            <w:tcW w:w="19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7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p>
      <w:pPr>
        <w:pStyle w:val="Normal"/>
        <w:spacing w:before="0" w:after="0"/>
        <w:rPr>
          <w:sz w:val="4"/>
          <w:szCs w:val="4"/>
        </w:rPr>
      </w:pPr>
      <w:r>
        <w:rPr>
          <w:sz w:val="4"/>
          <w:szCs w:val="4"/>
        </w:rPr>
      </w:r>
      <w:bookmarkStart w:id="189" w:name="zfa88efee13cc41acbdac5b5a28d78dd5"/>
      <w:bookmarkStart w:id="190" w:name="zfa88efee13cc41acbdac5b5a28d78dd5"/>
      <w:bookmarkEnd w:id="190"/>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pPr>
            <w:r>
              <w:rPr/>
            </w:r>
          </w:p>
        </w:tc>
        <w:tc>
          <w:tcPr>
            <w:tcW w:w="22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Normal"/>
        <w:spacing w:before="0" w:after="0"/>
        <w:rPr>
          <w:sz w:val="4"/>
          <w:szCs w:val="4"/>
        </w:rPr>
      </w:pPr>
      <w:r>
        <w:rPr>
          <w:sz w:val="4"/>
          <w:szCs w:val="4"/>
        </w:rPr>
      </w:r>
      <w:bookmarkStart w:id="191" w:name="z233ae797fc544500bbf5e431e49bd78c"/>
      <w:bookmarkStart w:id="192" w:name="z233ae797fc544500bbf5e431e49bd78c"/>
      <w:bookmarkEnd w:id="192"/>
    </w:p>
    <w:tbl>
      <w:tblPr>
        <w:tblW w:w="4824" w:type="dxa"/>
        <w:jc w:val="left"/>
        <w:tblInd w:w="0" w:type="dxa"/>
        <w:tblCellMar>
          <w:top w:w="0" w:type="dxa"/>
          <w:left w:w="0" w:type="dxa"/>
          <w:bottom w:w="0" w:type="dxa"/>
          <w:right w:w="0" w:type="dxa"/>
        </w:tblCellMar>
      </w:tblPr>
      <w:tblGrid>
        <w:gridCol w:w="1895"/>
        <w:gridCol w:w="450"/>
        <w:gridCol w:w="2395"/>
        <w:gridCol w:w="84"/>
      </w:tblGrid>
      <w:tr>
        <w:trPr/>
        <w:tc>
          <w:tcPr>
            <w:tcW w:w="1895" w:type="dxa"/>
            <w:tcBorders/>
            <w:shd w:fill="auto" w:val="clear"/>
            <w:vAlign w:val="center"/>
          </w:tcPr>
          <w:p>
            <w:pPr>
              <w:pStyle w:val="TableContents"/>
              <w:spacing w:before="0" w:after="283"/>
              <w:rPr/>
            </w:pPr>
            <w:r>
              <w:rPr/>
              <w:t> </w:t>
            </w:r>
          </w:p>
        </w:tc>
        <w:tc>
          <w:tcPr>
            <w:tcW w:w="2929" w:type="dxa"/>
            <w:gridSpan w:val="3"/>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STRATA SKIN SCIENCES, INC.</w:t>
            </w:r>
          </w:p>
        </w:tc>
      </w:tr>
      <w:tr>
        <w:trPr/>
        <w:tc>
          <w:tcPr>
            <w:tcW w:w="1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Dated: March 31, 2023</w:t>
            </w:r>
          </w:p>
        </w:tc>
        <w:tc>
          <w:tcPr>
            <w:tcW w:w="2929" w:type="dxa"/>
            <w:gridSpan w:val="3"/>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pPr>
            <w:r>
              <w:rPr/>
              <w:t> </w:t>
            </w:r>
          </w:p>
        </w:tc>
        <w:tc>
          <w:tcPr>
            <w:tcW w:w="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2395" w:type="dxa"/>
            <w:tcBorders>
              <w:bottom w:val="single" w:sz="12" w:space="0" w:color="000000"/>
            </w:tcBorders>
            <w:shd w:fill="auto" w:val="clear"/>
            <w:tcMar>
              <w:bottom w:w="28" w:type="dxa"/>
            </w:tcMar>
            <w:vAlign w:val="center"/>
          </w:tcPr>
          <w:p>
            <w:pPr>
              <w:pStyle w:val="TableContents"/>
              <w:spacing w:before="0" w:after="283"/>
              <w:rPr/>
            </w:pPr>
            <w:r>
              <w:rPr/>
              <w:t> </w:t>
            </w:r>
            <w:r>
              <w:rPr>
                <w:rFonts w:ascii="Times New Roman" w:hAnsi="Times New Roman"/>
                <w:sz w:val="20"/>
              </w:rPr>
              <w:t>/s/ Robert J. Moccia</w:t>
            </w:r>
          </w:p>
        </w:tc>
        <w:tc>
          <w:tcPr>
            <w:tcW w:w="84"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pPr>
            <w:r>
              <w:rPr/>
              <w:t> </w:t>
            </w:r>
          </w:p>
        </w:tc>
        <w:tc>
          <w:tcPr>
            <w:tcW w:w="2929"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Robert J. Moccia</w:t>
            </w:r>
          </w:p>
        </w:tc>
      </w:tr>
      <w:tr>
        <w:trPr/>
        <w:tc>
          <w:tcPr>
            <w:tcW w:w="1895" w:type="dxa"/>
            <w:tcBorders/>
            <w:shd w:fill="auto" w:val="clear"/>
            <w:vAlign w:val="center"/>
          </w:tcPr>
          <w:p>
            <w:pPr>
              <w:pStyle w:val="TableContents"/>
              <w:spacing w:before="0" w:after="283"/>
              <w:rPr/>
            </w:pPr>
            <w:r>
              <w:rPr/>
              <w:t> </w:t>
            </w:r>
          </w:p>
        </w:tc>
        <w:tc>
          <w:tcPr>
            <w:tcW w:w="2929" w:type="dxa"/>
            <w:gridSpan w:val="3"/>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President &amp; Chief Executive Officer</w:t>
            </w:r>
          </w:p>
        </w:tc>
      </w:tr>
    </w:tbl>
    <w:p>
      <w:pPr>
        <w:pStyle w:val="TextBody"/>
        <w:spacing w:before="0" w:after="0"/>
        <w:rPr/>
      </w:pPr>
      <w:r>
        <w:rPr/>
      </w:r>
    </w:p>
    <w:p>
      <w:pPr>
        <w:pStyle w:val="TextBody"/>
        <w:spacing w:before="0" w:after="0"/>
        <w:rPr/>
      </w:pPr>
      <w:r>
        <w:rPr/>
      </w:r>
    </w:p>
    <w:p>
      <w:pPr>
        <w:pStyle w:val="TextBody"/>
        <w:spacing w:before="0" w:after="0"/>
        <w:jc w:val="center"/>
        <w:rPr/>
      </w:pPr>
      <w:r>
        <w:rPr/>
        <w:t xml:space="preserve">E-31.1 </w:t>
      </w:r>
    </w:p>
    <w:p>
      <w:pPr>
        <w:pStyle w:val="HorizontalLine"/>
        <w:pBdr>
          <w:bottom w:val="single" w:sz="20" w:space="0" w:color="808080"/>
        </w:pBdr>
        <w:jc w:val="center"/>
        <w:rPr/>
      </w:pPr>
      <w:r>
        <w:rPr/>
      </w:r>
      <w:r>
        <w:br w:type="page"/>
      </w:r>
    </w:p>
    <w:p>
      <w:pPr>
        <w:pStyle w:val="HorizontalLine"/>
        <w:pBdr>
          <w:bottom w:val="single" w:sz="20" w:space="0" w:color="808080"/>
        </w:pBdr>
        <w:rPr/>
      </w:pPr>
      <w:r>
        <w:rPr/>
      </w:r>
      <w:bookmarkStart w:id="193" w:name="brhc10049943_ex31-2.htm"/>
      <w:bookmarkStart w:id="194" w:name="ksbrhc10049943_ex312"/>
      <w:bookmarkStart w:id="195" w:name="brhc10049943_ex31-2.htm"/>
      <w:bookmarkStart w:id="196" w:name="ksbrhc10049943_ex312"/>
      <w:bookmarkEnd w:id="195"/>
      <w:bookmarkEnd w:id="196"/>
    </w:p>
    <w:p>
      <w:pPr>
        <w:pStyle w:val="TextBody"/>
        <w:spacing w:before="0" w:after="0"/>
        <w:ind w:left="0" w:right="0" w:firstLine="720"/>
        <w:jc w:val="right"/>
        <w:rPr>
          <w:rFonts w:ascii="Times New Roman" w:hAnsi="Times New Roman"/>
          <w:b/>
          <w:sz w:val="20"/>
          <w:u w:val="single"/>
        </w:rPr>
      </w:pPr>
      <w:r>
        <w:rPr>
          <w:rFonts w:ascii="Times New Roman" w:hAnsi="Times New Roman"/>
          <w:b/>
          <w:sz w:val="20"/>
          <w:u w:val="single"/>
        </w:rPr>
        <w:t>Exhibit 31.2</w:t>
      </w:r>
    </w:p>
    <w:p>
      <w:pPr>
        <w:pStyle w:val="TextBody"/>
        <w:spacing w:before="0" w:after="0"/>
        <w:rPr>
          <w:sz w:val="20"/>
        </w:rPr>
      </w:pPr>
      <w:r>
        <w:rPr>
          <w:sz w:val="20"/>
        </w:rPr>
      </w:r>
    </w:p>
    <w:p>
      <w:pPr>
        <w:pStyle w:val="TextBody"/>
        <w:spacing w:before="0" w:after="0"/>
        <w:jc w:val="center"/>
        <w:rPr>
          <w:rFonts w:ascii="Times New Roman" w:hAnsi="Times New Roman"/>
          <w:sz w:val="20"/>
        </w:rPr>
      </w:pPr>
      <w:r>
        <w:rPr>
          <w:rFonts w:ascii="Times New Roman" w:hAnsi="Times New Roman"/>
          <w:sz w:val="20"/>
        </w:rPr>
        <w:t>CERTIFICATION OF CHIEF FINANCIAL OFFICER</w:t>
      </w:r>
    </w:p>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 Christopher Lesovitz, certify that:</w:t>
      </w:r>
    </w:p>
    <w:p>
      <w:pPr>
        <w:pStyle w:val="TextBody"/>
        <w:spacing w:before="0" w:after="0"/>
        <w:rPr/>
      </w:pPr>
      <w:r>
        <w:rPr/>
        <w:t> </w:t>
      </w:r>
    </w:p>
    <w:tbl>
      <w:tblPr>
        <w:tblW w:w="6858" w:type="dxa"/>
        <w:jc w:val="left"/>
        <w:tblInd w:w="0" w:type="dxa"/>
        <w:tblCellMar>
          <w:top w:w="0" w:type="dxa"/>
          <w:left w:w="0" w:type="dxa"/>
          <w:bottom w:w="0" w:type="dxa"/>
          <w:right w:w="0" w:type="dxa"/>
        </w:tblCellMar>
      </w:tblPr>
      <w:tblGrid>
        <w:gridCol w:w="38"/>
        <w:gridCol w:w="245"/>
        <w:gridCol w:w="6575"/>
      </w:tblGrid>
      <w:tr>
        <w:trPr/>
        <w:tc>
          <w:tcPr>
            <w:tcW w:w="38" w:type="dxa"/>
            <w:tcBorders/>
            <w:shd w:fill="auto" w:val="clear"/>
            <w:vAlign w:val="center"/>
          </w:tcPr>
          <w:p>
            <w:pPr>
              <w:pStyle w:val="TableContents"/>
              <w:spacing w:before="0" w:after="283"/>
              <w:rPr/>
            </w:pPr>
            <w:r>
              <w:rPr/>
            </w:r>
          </w:p>
        </w:tc>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5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 have reviewed this annual report on Form 10-K of STRATA Skin Sciences, Inc.;</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08"/>
        <w:gridCol w:w="9959"/>
      </w:tblGrid>
      <w:tr>
        <w:trPr/>
        <w:tc>
          <w:tcPr>
            <w:tcW w:w="38" w:type="dxa"/>
            <w:tcBorders/>
            <w:shd w:fill="auto" w:val="clear"/>
            <w:vAlign w:val="center"/>
          </w:tcPr>
          <w:p>
            <w:pPr>
              <w:pStyle w:val="TableContents"/>
              <w:spacing w:before="0" w:after="283"/>
              <w:rPr/>
            </w:pPr>
            <w:r>
              <w:rPr/>
            </w:r>
          </w:p>
        </w:tc>
        <w:tc>
          <w:tcPr>
            <w:tcW w:w="208"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59"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10"/>
        <w:gridCol w:w="9957"/>
      </w:tblGrid>
      <w:tr>
        <w:trPr/>
        <w:tc>
          <w:tcPr>
            <w:tcW w:w="38" w:type="dxa"/>
            <w:tcBorders/>
            <w:shd w:fill="auto" w:val="clear"/>
            <w:vAlign w:val="center"/>
          </w:tcPr>
          <w:p>
            <w:pPr>
              <w:pStyle w:val="TableContents"/>
              <w:spacing w:before="0" w:after="283"/>
              <w:rPr/>
            </w:pPr>
            <w:r>
              <w:rPr/>
            </w:r>
          </w:p>
        </w:tc>
        <w:tc>
          <w:tcPr>
            <w:tcW w:w="21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99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06"/>
        <w:gridCol w:w="9961"/>
      </w:tblGrid>
      <w:tr>
        <w:trPr/>
        <w:tc>
          <w:tcPr>
            <w:tcW w:w="38" w:type="dxa"/>
            <w:tcBorders/>
            <w:shd w:fill="auto" w:val="clear"/>
            <w:vAlign w:val="center"/>
          </w:tcPr>
          <w:p>
            <w:pPr>
              <w:pStyle w:val="TableContents"/>
              <w:spacing w:before="0" w:after="283"/>
              <w:rPr/>
            </w:pPr>
            <w:r>
              <w:rPr/>
            </w:r>
          </w:p>
        </w:tc>
        <w:tc>
          <w:tcPr>
            <w:tcW w:w="20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996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189"/>
        <w:gridCol w:w="9978"/>
      </w:tblGrid>
      <w:tr>
        <w:trPr/>
        <w:tc>
          <w:tcPr>
            <w:tcW w:w="38" w:type="dxa"/>
            <w:tcBorders/>
            <w:shd w:fill="auto" w:val="clear"/>
            <w:vAlign w:val="center"/>
          </w:tcPr>
          <w:p>
            <w:pPr>
              <w:pStyle w:val="TableContents"/>
              <w:spacing w:before="0" w:after="283"/>
              <w:rPr/>
            </w:pPr>
            <w:r>
              <w:rPr/>
            </w:r>
          </w:p>
        </w:tc>
        <w:tc>
          <w:tcPr>
            <w:tcW w:w="18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7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pPr>
            <w:r>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195"/>
        <w:gridCol w:w="9972"/>
      </w:tblGrid>
      <w:tr>
        <w:trPr/>
        <w:tc>
          <w:tcPr>
            <w:tcW w:w="38" w:type="dxa"/>
            <w:tcBorders/>
            <w:shd w:fill="auto" w:val="clear"/>
            <w:vAlign w:val="center"/>
          </w:tcPr>
          <w:p>
            <w:pPr>
              <w:pStyle w:val="TableContents"/>
              <w:spacing w:before="0" w:after="283"/>
              <w:rPr/>
            </w:pPr>
            <w:r>
              <w:rPr/>
            </w:r>
          </w:p>
        </w:tc>
        <w:tc>
          <w:tcPr>
            <w:tcW w:w="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w:t>
            </w:r>
          </w:p>
        </w:tc>
        <w:tc>
          <w:tcPr>
            <w:tcW w:w="9972"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04"/>
        <w:gridCol w:w="9963"/>
      </w:tblGrid>
      <w:tr>
        <w:trPr/>
        <w:tc>
          <w:tcPr>
            <w:tcW w:w="38" w:type="dxa"/>
            <w:tcBorders/>
            <w:shd w:fill="auto" w:val="clear"/>
            <w:vAlign w:val="center"/>
          </w:tcPr>
          <w:p>
            <w:pPr>
              <w:pStyle w:val="TableContents"/>
              <w:spacing w:before="0" w:after="283"/>
              <w:rPr/>
            </w:pPr>
            <w:r>
              <w:rPr/>
            </w:r>
          </w:p>
        </w:tc>
        <w:tc>
          <w:tcPr>
            <w:tcW w:w="20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w:t>
            </w:r>
          </w:p>
        </w:tc>
        <w:tc>
          <w:tcPr>
            <w:tcW w:w="996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09"/>
        <w:gridCol w:w="9958"/>
      </w:tblGrid>
      <w:tr>
        <w:trPr/>
        <w:tc>
          <w:tcPr>
            <w:tcW w:w="38" w:type="dxa"/>
            <w:tcBorders/>
            <w:shd w:fill="auto" w:val="clear"/>
            <w:vAlign w:val="center"/>
          </w:tcPr>
          <w:p>
            <w:pPr>
              <w:pStyle w:val="TableContents"/>
              <w:spacing w:before="0" w:after="283"/>
              <w:rPr/>
            </w:pPr>
            <w:r>
              <w:rPr/>
            </w:r>
          </w:p>
        </w:tc>
        <w:tc>
          <w:tcPr>
            <w:tcW w:w="20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(5)</w:t>
            </w:r>
          </w:p>
        </w:tc>
        <w:tc>
          <w:tcPr>
            <w:tcW w:w="9958"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196"/>
        <w:gridCol w:w="9971"/>
      </w:tblGrid>
      <w:tr>
        <w:trPr/>
        <w:tc>
          <w:tcPr>
            <w:tcW w:w="38" w:type="dxa"/>
            <w:tcBorders/>
            <w:shd w:fill="auto" w:val="clear"/>
            <w:vAlign w:val="center"/>
          </w:tcPr>
          <w:p>
            <w:pPr>
              <w:pStyle w:val="TableContents"/>
              <w:spacing w:before="0" w:after="283"/>
              <w:rPr/>
            </w:pPr>
            <w:r>
              <w:rPr/>
            </w:r>
          </w:p>
        </w:tc>
        <w:tc>
          <w:tcPr>
            <w:tcW w:w="19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997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pPr>
            <w:r>
              <w:rPr/>
            </w:r>
          </w:p>
        </w:tc>
        <w:tc>
          <w:tcPr>
            <w:tcW w:w="227"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sz w:val="20"/>
        </w:rPr>
      </w:pPr>
      <w:r>
        <w:rPr>
          <w:sz w:val="20"/>
        </w:rPr>
      </w:r>
    </w:p>
    <w:tbl>
      <w:tblPr>
        <w:tblW w:w="4570" w:type="dxa"/>
        <w:jc w:val="left"/>
        <w:tblInd w:w="0" w:type="dxa"/>
        <w:tblCellMar>
          <w:top w:w="0" w:type="dxa"/>
          <w:left w:w="0" w:type="dxa"/>
          <w:bottom w:w="0" w:type="dxa"/>
          <w:right w:w="0" w:type="dxa"/>
        </w:tblCellMar>
      </w:tblPr>
      <w:tblGrid>
        <w:gridCol w:w="1895"/>
        <w:gridCol w:w="2675"/>
      </w:tblGrid>
      <w:tr>
        <w:trPr/>
        <w:tc>
          <w:tcPr>
            <w:tcW w:w="1895"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STRATA SKIN SCIENCES, INC.</w:t>
            </w:r>
          </w:p>
        </w:tc>
      </w:tr>
      <w:tr>
        <w:trPr/>
        <w:tc>
          <w:tcPr>
            <w:tcW w:w="18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Dated: March 31, 2023</w:t>
            </w:r>
          </w:p>
        </w:tc>
        <w:tc>
          <w:tcPr>
            <w:tcW w:w="2675" w:type="dxa"/>
            <w:tcBorders/>
            <w:shd w:fill="auto" w:val="cle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Christopher Lesovitz</w:t>
            </w:r>
          </w:p>
        </w:tc>
      </w:tr>
      <w:tr>
        <w:trPr/>
        <w:tc>
          <w:tcPr>
            <w:tcW w:w="1895"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Christopher Lesovitz</w:t>
            </w:r>
          </w:p>
        </w:tc>
      </w:tr>
      <w:tr>
        <w:trPr/>
        <w:tc>
          <w:tcPr>
            <w:tcW w:w="1895" w:type="dxa"/>
            <w:tcBorders/>
            <w:shd w:fill="auto" w:val="clear"/>
            <w:vAlign w:val="center"/>
          </w:tcPr>
          <w:p>
            <w:pPr>
              <w:pStyle w:val="TableContents"/>
              <w:spacing w:before="0" w:after="283"/>
              <w:rPr/>
            </w:pPr>
            <w:r>
              <w:rPr/>
              <w:t> </w:t>
            </w:r>
          </w:p>
        </w:tc>
        <w:tc>
          <w:tcPr>
            <w:tcW w:w="2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Financial Officer</w:t>
            </w:r>
          </w:p>
        </w:tc>
      </w:tr>
    </w:tbl>
    <w:p>
      <w:pPr>
        <w:pStyle w:val="TextBody"/>
        <w:spacing w:before="0" w:after="0"/>
        <w:rPr>
          <w:sz w:val="20"/>
        </w:rPr>
      </w:pPr>
      <w:r>
        <w:rPr>
          <w:sz w:val="20"/>
        </w:rPr>
      </w:r>
    </w:p>
    <w:p>
      <w:pPr>
        <w:pStyle w:val="TextBody"/>
        <w:spacing w:before="0" w:after="0"/>
        <w:rPr>
          <w:sz w:val="20"/>
        </w:rPr>
      </w:pPr>
      <w:r>
        <w:rPr>
          <w:sz w:val="20"/>
        </w:rPr>
      </w:r>
    </w:p>
    <w:p>
      <w:pPr>
        <w:pStyle w:val="TextBody"/>
        <w:spacing w:before="0" w:after="0"/>
        <w:jc w:val="center"/>
        <w:rPr>
          <w:rFonts w:ascii="Times New Roman" w:hAnsi="Times New Roman"/>
          <w:sz w:val="20"/>
        </w:rPr>
      </w:pPr>
      <w:r>
        <w:rPr>
          <w:rFonts w:ascii="Times New Roman" w:hAnsi="Times New Roman"/>
          <w:sz w:val="20"/>
        </w:rPr>
        <w:t>E-31.2</w:t>
      </w:r>
    </w:p>
    <w:p>
      <w:pPr>
        <w:pStyle w:val="HorizontalLine"/>
        <w:pBdr>
          <w:bottom w:val="single" w:sz="20" w:space="0" w:color="808080"/>
        </w:pBdr>
        <w:jc w:val="center"/>
        <w:rPr/>
      </w:pPr>
      <w:r>
        <w:rPr/>
      </w:r>
      <w:r>
        <w:br w:type="page"/>
      </w:r>
    </w:p>
    <w:p>
      <w:pPr>
        <w:pStyle w:val="HorizontalLine"/>
        <w:pBdr>
          <w:bottom w:val="single" w:sz="20" w:space="0" w:color="808080"/>
        </w:pBdr>
        <w:rPr/>
      </w:pPr>
      <w:r>
        <w:rPr/>
      </w:r>
      <w:bookmarkStart w:id="197" w:name="brhc10049943_ex32-1.htm"/>
      <w:bookmarkStart w:id="198" w:name="ksbrhc10049943_ex321"/>
      <w:bookmarkStart w:id="199" w:name="brhc10049943_ex32-1.htm"/>
      <w:bookmarkStart w:id="200" w:name="ksbrhc10049943_ex321"/>
      <w:bookmarkEnd w:id="199"/>
      <w:bookmarkEnd w:id="200"/>
    </w:p>
    <w:p>
      <w:pPr>
        <w:pStyle w:val="TextBody"/>
        <w:spacing w:before="0" w:after="0"/>
        <w:jc w:val="right"/>
        <w:rPr>
          <w:rFonts w:ascii="Times New Roman" w:hAnsi="Times New Roman"/>
          <w:b/>
          <w:sz w:val="20"/>
          <w:u w:val="single"/>
        </w:rPr>
      </w:pPr>
      <w:r>
        <w:rPr>
          <w:rFonts w:ascii="Times New Roman" w:hAnsi="Times New Roman"/>
          <w:b/>
          <w:sz w:val="20"/>
          <w:u w:val="single"/>
        </w:rPr>
        <w:t>Exhibit 32.1</w:t>
      </w:r>
    </w:p>
    <w:p>
      <w:pPr>
        <w:pStyle w:val="TextBody"/>
        <w:spacing w:before="0" w:after="0"/>
        <w:rPr>
          <w:sz w:val="20"/>
        </w:rPr>
      </w:pPr>
      <w:r>
        <w:rPr>
          <w:sz w:val="20"/>
        </w:rPr>
      </w:r>
    </w:p>
    <w:p>
      <w:pPr>
        <w:pStyle w:val="TextBody"/>
        <w:spacing w:before="0" w:after="0"/>
        <w:jc w:val="center"/>
        <w:rPr>
          <w:rFonts w:ascii="Times New Roman" w:hAnsi="Times New Roman"/>
          <w:b/>
          <w:sz w:val="20"/>
        </w:rPr>
      </w:pPr>
      <w:r>
        <w:rPr>
          <w:rFonts w:ascii="Times New Roman" w:hAnsi="Times New Roman"/>
          <w:b/>
          <w:sz w:val="20"/>
        </w:rPr>
        <w:t>SECTION 906 CERTIFICATION</w:t>
      </w:r>
    </w:p>
    <w:p>
      <w:pPr>
        <w:pStyle w:val="TextBody"/>
        <w:spacing w:before="0" w:after="0"/>
        <w:rPr>
          <w:sz w:val="20"/>
        </w:rPr>
      </w:pPr>
      <w:r>
        <w:rPr>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CERTIFICATION (1)</w:t>
      </w:r>
    </w:p>
    <w:p>
      <w:pPr>
        <w:pStyle w:val="TextBody"/>
        <w:spacing w:before="0" w:after="0"/>
        <w:jc w:val="both"/>
        <w:rPr>
          <w:sz w:val="20"/>
        </w:rPr>
      </w:pPr>
      <w:r>
        <w:rPr>
          <w:sz w:val="20"/>
        </w:rPr>
      </w:r>
    </w:p>
    <w:p>
      <w:pPr>
        <w:pStyle w:val="TextBody"/>
        <w:spacing w:before="0" w:after="0"/>
        <w:ind w:left="0" w:right="0" w:firstLine="594"/>
        <w:jc w:val="both"/>
        <w:rPr>
          <w:rFonts w:ascii="Times New Roman" w:hAnsi="Times New Roman"/>
          <w:color w:val="000000"/>
          <w:sz w:val="20"/>
        </w:rPr>
      </w:pPr>
      <w:r>
        <w:rPr>
          <w:rFonts w:ascii="Times New Roman" w:hAnsi="Times New Roman"/>
          <w:color w:val="000000"/>
          <w:sz w:val="20"/>
        </w:rPr>
        <w:t>Pursuant to Section 906 of the Sarbanes-Oxley Act of 2002 (18 U.S.C. § 1350, as adopted), Robert Moccia, the President and Chief Executive Officer of STRATA Skin Sciences, Inc. (the “Company”), and Christopher Lesovitz, the Chief Financial Officer of the Company, each hereby certifies that, to the best of his knowledge:</w:t>
      </w:r>
    </w:p>
    <w:p>
      <w:pPr>
        <w:pStyle w:val="TextBody"/>
        <w:spacing w:before="0" w:after="0"/>
        <w:rPr>
          <w:sz w:val="20"/>
        </w:rPr>
      </w:pPr>
      <w:r>
        <w:rPr>
          <w:sz w:val="20"/>
        </w:rPr>
      </w:r>
    </w:p>
    <w:p>
      <w:pPr>
        <w:pStyle w:val="Normal"/>
        <w:spacing w:before="0" w:after="0"/>
        <w:rPr>
          <w:sz w:val="4"/>
          <w:szCs w:val="4"/>
        </w:rPr>
      </w:pPr>
      <w:r>
        <w:rPr>
          <w:sz w:val="4"/>
          <w:szCs w:val="4"/>
        </w:rPr>
      </w:r>
      <w:bookmarkStart w:id="201" w:name="z5a00c7f97ffd4417b9b8e485bd65ba7e"/>
      <w:bookmarkStart w:id="202" w:name="z5a00c7f97ffd4417b9b8e485bd65ba7e"/>
      <w:bookmarkEnd w:id="202"/>
    </w:p>
    <w:tbl>
      <w:tblPr>
        <w:tblW w:w="10205" w:type="dxa"/>
        <w:jc w:val="left"/>
        <w:tblInd w:w="0" w:type="dxa"/>
        <w:tblCellMar>
          <w:top w:w="0" w:type="dxa"/>
          <w:left w:w="0" w:type="dxa"/>
          <w:bottom w:w="0" w:type="dxa"/>
          <w:right w:w="0" w:type="dxa"/>
        </w:tblCellMar>
      </w:tblPr>
      <w:tblGrid>
        <w:gridCol w:w="38"/>
        <w:gridCol w:w="142"/>
        <w:gridCol w:w="10025"/>
      </w:tblGrid>
      <w:tr>
        <w:trPr/>
        <w:tc>
          <w:tcPr>
            <w:tcW w:w="38" w:type="dxa"/>
            <w:tcBorders/>
            <w:shd w:fill="auto" w:val="clear"/>
            <w:vAlign w:val="center"/>
          </w:tcPr>
          <w:p>
            <w:pPr>
              <w:pStyle w:val="TableContents"/>
              <w:spacing w:before="0" w:after="283"/>
              <w:rPr/>
            </w:pPr>
            <w:r>
              <w:rPr/>
            </w:r>
          </w:p>
        </w:tc>
        <w:tc>
          <w:tcPr>
            <w:tcW w:w="142"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1002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The Company’s Annual Report on Form 10-K for the year ended December 31, 2022, to which this Certification is attached as Exhibit 32.1 (the “Periodic Report”), fully complies with the requirements of Section 13(a) or Section 15(d) of the Securities Exchange Act of 1934, as amended, and</w:t>
            </w:r>
          </w:p>
        </w:tc>
      </w:tr>
    </w:tbl>
    <w:p>
      <w:pPr>
        <w:pStyle w:val="TextBody"/>
        <w:spacing w:before="0" w:after="0"/>
        <w:rPr>
          <w:sz w:val="20"/>
        </w:rPr>
      </w:pPr>
      <w:r>
        <w:rPr>
          <w:sz w:val="20"/>
        </w:rPr>
      </w:r>
    </w:p>
    <w:p>
      <w:pPr>
        <w:pStyle w:val="Normal"/>
        <w:spacing w:before="0" w:after="0"/>
        <w:rPr>
          <w:sz w:val="4"/>
          <w:szCs w:val="4"/>
        </w:rPr>
      </w:pPr>
      <w:r>
        <w:rPr>
          <w:sz w:val="4"/>
          <w:szCs w:val="4"/>
        </w:rPr>
      </w:r>
      <w:bookmarkStart w:id="203" w:name="zd76b41a00e0e4ea3aa3b26ceee68a189"/>
      <w:bookmarkStart w:id="204" w:name="zd76b41a00e0e4ea3aa3b26ceee68a189"/>
      <w:bookmarkEnd w:id="204"/>
    </w:p>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2.</w:t>
            </w:r>
          </w:p>
        </w:tc>
        <w:tc>
          <w:tcPr>
            <w:tcW w:w="1000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tc>
      </w:tr>
    </w:tbl>
    <w:p>
      <w:pPr>
        <w:pStyle w:val="TextBody"/>
        <w:spacing w:before="0" w:after="0"/>
        <w:jc w:val="both"/>
        <w:rPr>
          <w:sz w:val="20"/>
        </w:rPr>
      </w:pPr>
      <w:r>
        <w:rPr>
          <w:sz w:val="20"/>
        </w:rPr>
      </w:r>
    </w:p>
    <w:p>
      <w:pPr>
        <w:pStyle w:val="Normal"/>
        <w:spacing w:before="0" w:after="0"/>
        <w:rPr>
          <w:sz w:val="4"/>
          <w:szCs w:val="4"/>
        </w:rPr>
      </w:pPr>
      <w:r>
        <w:rPr>
          <w:sz w:val="4"/>
          <w:szCs w:val="4"/>
        </w:rPr>
      </w:r>
      <w:bookmarkStart w:id="205" w:name="zaa3805000f194de691ed2d2f446b4e45"/>
      <w:bookmarkStart w:id="206" w:name="zaa3805000f194de691ed2d2f446b4e45"/>
      <w:bookmarkEnd w:id="206"/>
    </w:p>
    <w:tbl>
      <w:tblPr>
        <w:tblW w:w="5109" w:type="dxa"/>
        <w:jc w:val="left"/>
        <w:tblInd w:w="0" w:type="dxa"/>
        <w:tblCellMar>
          <w:top w:w="0" w:type="dxa"/>
          <w:left w:w="0" w:type="dxa"/>
          <w:bottom w:w="0" w:type="dxa"/>
          <w:right w:w="0" w:type="dxa"/>
        </w:tblCellMar>
      </w:tblPr>
      <w:tblGrid>
        <w:gridCol w:w="2832"/>
        <w:gridCol w:w="97"/>
        <w:gridCol w:w="60"/>
        <w:gridCol w:w="2060"/>
        <w:gridCol w:w="60"/>
      </w:tblGrid>
      <w:tr>
        <w:trPr/>
        <w:tc>
          <w:tcPr>
            <w:tcW w:w="2929"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Dated: March 31, 2023</w:t>
            </w:r>
          </w:p>
        </w:tc>
        <w:tc>
          <w:tcPr>
            <w:tcW w:w="60" w:type="dxa"/>
            <w:tcBorders/>
            <w:shd w:fill="auto" w:val="clear"/>
            <w:vAlign w:val="center"/>
          </w:tcPr>
          <w:p>
            <w:pPr>
              <w:pStyle w:val="TableContents"/>
              <w:spacing w:before="0" w:after="283"/>
              <w:rPr/>
            </w:pPr>
            <w:r>
              <w:rPr/>
              <w:t> </w:t>
            </w:r>
          </w:p>
        </w:tc>
        <w:tc>
          <w:tcPr>
            <w:tcW w:w="2120" w:type="dxa"/>
            <w:gridSpan w:val="2"/>
            <w:tcBorders/>
            <w:shd w:fill="auto" w:val="clear"/>
            <w:vAlign w:val="center"/>
          </w:tcPr>
          <w:p>
            <w:pPr>
              <w:pStyle w:val="TableContents"/>
              <w:spacing w:before="0" w:after="283"/>
              <w:rPr/>
            </w:pPr>
            <w:r>
              <w:rPr/>
              <w:t> </w:t>
            </w:r>
          </w:p>
        </w:tc>
      </w:tr>
      <w:tr>
        <w:trPr/>
        <w:tc>
          <w:tcPr>
            <w:tcW w:w="292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20" w:type="dxa"/>
            <w:gridSpan w:val="2"/>
            <w:tcBorders/>
            <w:shd w:fill="auto" w:val="clear"/>
            <w:vAlign w:val="center"/>
          </w:tcPr>
          <w:p>
            <w:pPr>
              <w:pStyle w:val="TableContents"/>
              <w:spacing w:before="0" w:after="283"/>
              <w:rPr/>
            </w:pPr>
            <w:r>
              <w:rPr/>
              <w:t> </w:t>
            </w:r>
          </w:p>
        </w:tc>
      </w:tr>
      <w:tr>
        <w:trPr/>
        <w:tc>
          <w:tcPr>
            <w:tcW w:w="2832"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   Robert J. Moccia</w:t>
            </w:r>
          </w:p>
        </w:tc>
        <w:tc>
          <w:tcPr>
            <w:tcW w:w="9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60"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   Christopher Lesovitz</w:t>
            </w:r>
          </w:p>
        </w:tc>
        <w:tc>
          <w:tcPr>
            <w:tcW w:w="60" w:type="dxa"/>
            <w:tcBorders/>
            <w:shd w:fill="auto" w:val="clear"/>
            <w:vAlign w:val="center"/>
          </w:tcPr>
          <w:p>
            <w:pPr>
              <w:pStyle w:val="TableContents"/>
              <w:spacing w:before="0" w:after="283"/>
              <w:rPr/>
            </w:pPr>
            <w:r>
              <w:rPr/>
              <w:t> </w:t>
            </w:r>
          </w:p>
        </w:tc>
      </w:tr>
      <w:tr>
        <w:trPr/>
        <w:tc>
          <w:tcPr>
            <w:tcW w:w="2929"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Robert Moccia</w:t>
            </w:r>
          </w:p>
        </w:tc>
        <w:tc>
          <w:tcPr>
            <w:tcW w:w="60" w:type="dxa"/>
            <w:tcBorders/>
            <w:shd w:fill="auto" w:val="clear"/>
            <w:vAlign w:val="center"/>
          </w:tcPr>
          <w:p>
            <w:pPr>
              <w:pStyle w:val="TableContents"/>
              <w:spacing w:before="0" w:after="283"/>
              <w:rPr/>
            </w:pPr>
            <w:r>
              <w:rPr/>
              <w:t> </w:t>
            </w:r>
          </w:p>
        </w:tc>
        <w:tc>
          <w:tcPr>
            <w:tcW w:w="2120"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Christopher Lesovitz</w:t>
            </w:r>
          </w:p>
        </w:tc>
      </w:tr>
      <w:tr>
        <w:trPr/>
        <w:tc>
          <w:tcPr>
            <w:tcW w:w="2929"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President &amp; Chief Executive Officer</w:t>
            </w:r>
          </w:p>
        </w:tc>
        <w:tc>
          <w:tcPr>
            <w:tcW w:w="60" w:type="dxa"/>
            <w:tcBorders/>
            <w:shd w:fill="auto" w:val="clear"/>
            <w:vAlign w:val="center"/>
          </w:tcPr>
          <w:p>
            <w:pPr>
              <w:pStyle w:val="TableContents"/>
              <w:spacing w:before="0" w:after="283"/>
              <w:rPr/>
            </w:pPr>
            <w:r>
              <w:rPr/>
              <w:t> </w:t>
            </w:r>
          </w:p>
        </w:tc>
        <w:tc>
          <w:tcPr>
            <w:tcW w:w="2120"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spacing w:before="0" w:after="0"/>
        <w:rPr>
          <w:sz w:val="20"/>
        </w:rPr>
      </w:pPr>
      <w:r>
        <w:rPr>
          <w:sz w:val="20"/>
        </w:rPr>
      </w:r>
    </w:p>
    <w:p>
      <w:pPr>
        <w:pStyle w:val="Normal"/>
        <w:spacing w:before="0" w:after="0"/>
        <w:rPr>
          <w:sz w:val="4"/>
          <w:szCs w:val="4"/>
        </w:rPr>
      </w:pPr>
      <w:r>
        <w:rPr>
          <w:sz w:val="4"/>
          <w:szCs w:val="4"/>
        </w:rPr>
      </w:r>
      <w:bookmarkStart w:id="207" w:name="ze09752f791bc4b91830df71c235b2c07"/>
      <w:bookmarkStart w:id="208" w:name="ze09752f791bc4b91830df71c235b2c07"/>
      <w:bookmarkEnd w:id="208"/>
    </w:p>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999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tc>
      </w:tr>
    </w:tbl>
    <w:p>
      <w:pPr>
        <w:pStyle w:val="TextBody"/>
        <w:jc w:val="left"/>
        <w:rPr>
          <w:sz w:val="20"/>
        </w:rPr>
      </w:pPr>
      <w:r>
        <w:rPr>
          <w:sz w:val="20"/>
        </w:rPr>
      </w:r>
    </w:p>
    <w:p>
      <w:pPr>
        <w:pStyle w:val="TextBody"/>
        <w:spacing w:before="0" w:after="0"/>
        <w:jc w:val="center"/>
        <w:rPr>
          <w:rFonts w:ascii="Times New Roman" w:hAnsi="Times New Roman"/>
          <w:sz w:val="20"/>
        </w:rPr>
      </w:pPr>
      <w:r>
        <w:rPr>
          <w:rFonts w:ascii="Times New Roman" w:hAnsi="Times New Roman"/>
          <w:sz w:val="20"/>
        </w:rPr>
        <w:t>E-32.1</w:t>
      </w:r>
    </w:p>
    <w:p>
      <w:pPr>
        <w:pStyle w:val="HorizontalLine"/>
        <w:pBdr>
          <w:bottom w:val="single" w:sz="20"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51514/000095012310053315/y84813exv3w1.htm" TargetMode="External"/><Relationship Id="rId3" Type="http://schemas.openxmlformats.org/officeDocument/2006/relationships/hyperlink" Target="https://www.sec.gov/Archives/edgar/data/1051514/000105151416000033/ex_3-2.htm" TargetMode="External"/><Relationship Id="rId4" Type="http://schemas.openxmlformats.org/officeDocument/2006/relationships/hyperlink" Target="https://www.sec.gov/Archives/edgar/data/1051514/000095012305009522/y09078a2exv4w1.txt" TargetMode="External"/><Relationship Id="rId5" Type="http://schemas.openxmlformats.org/officeDocument/2006/relationships/hyperlink" Target="https://www.sec.gov/Archives/edgar/data/1051514/000114036122010347/brhc10035383_ex4-16.htm" TargetMode="External"/><Relationship Id="rId6" Type="http://schemas.openxmlformats.org/officeDocument/2006/relationships/hyperlink" Target="https://www.sec.gov/Archives/edgar/data/1051514/000119312514102619/d662215dex101.htm" TargetMode="External"/><Relationship Id="rId7" Type="http://schemas.openxmlformats.org/officeDocument/2006/relationships/hyperlink" Target="https://www.sec.gov/Archives/edgar/data/1051514/000095012305009522/y09078a2exv10w4.txt" TargetMode="External"/><Relationship Id="rId8" Type="http://schemas.openxmlformats.org/officeDocument/2006/relationships/hyperlink" Target="https://www.sec.gov/Archives/edgar/data/1051514/000105151416000048/exhibit_4-14.htm" TargetMode="External"/><Relationship Id="rId9" Type="http://schemas.openxmlformats.org/officeDocument/2006/relationships/hyperlink" Target="https://www.sec.gov/Archives/edgar/data/1051514/000105151416000048/exhibit_4-15.htm" TargetMode="External"/><Relationship Id="rId10" Type="http://schemas.openxmlformats.org/officeDocument/2006/relationships/hyperlink" Target="https://www.sec.gov/Archives/edgar/data/1051514/000105151416000084/ex_10-44.htm" TargetMode="External"/><Relationship Id="rId11" Type="http://schemas.openxmlformats.org/officeDocument/2006/relationships/hyperlink" Target="https://www.sec.gov/Archives/edgar/data/1051514/000105151418000008/ex_10-1.htm" TargetMode="External"/><Relationship Id="rId12" Type="http://schemas.openxmlformats.org/officeDocument/2006/relationships/hyperlink" Target="https://www.sec.gov/Archives/edgar/data/1051514/000105151418000008/ex_10-2.htm" TargetMode="External"/><Relationship Id="rId13" Type="http://schemas.openxmlformats.org/officeDocument/2006/relationships/hyperlink" Target="https://www.sec.gov/Archives/edgar/data/1051514/000105151418000008/ex_10-3.htm" TargetMode="External"/><Relationship Id="rId14" Type="http://schemas.openxmlformats.org/officeDocument/2006/relationships/hyperlink" Target="https://www.sec.gov/Archives/edgar/data/1051514/000105151418000008/ex_10-4.htm" TargetMode="External"/><Relationship Id="rId15" Type="http://schemas.openxmlformats.org/officeDocument/2006/relationships/hyperlink" Target="https://www.sec.gov/Archives/edgar/data/1051514/000105151418000008/ex_10-5.htm" TargetMode="External"/><Relationship Id="rId16" Type="http://schemas.openxmlformats.org/officeDocument/2006/relationships/hyperlink" Target="https://www.sec.gov/Archives/edgar/data/1051514/000105151418000008/ex_10-7.htm" TargetMode="External"/><Relationship Id="rId17" Type="http://schemas.openxmlformats.org/officeDocument/2006/relationships/hyperlink" Target="https://www.sec.gov/Archives/edgar/data/1051514/000114036118019952/form_def14-a.htm" TargetMode="External"/><Relationship Id="rId18" Type="http://schemas.openxmlformats.org/officeDocument/2006/relationships/hyperlink" Target="https://www.sec.gov/Archives/edgar/data/1051514/000105151418000082/ex_10-1.htm" TargetMode="External"/><Relationship Id="rId19" Type="http://schemas.openxmlformats.org/officeDocument/2006/relationships/hyperlink" Target="https://www.sec.gov/Archives/edgar/data/1051514/000105151420000034/ex_10-1.htm" TargetMode="External"/><Relationship Id="rId20" Type="http://schemas.openxmlformats.org/officeDocument/2006/relationships/hyperlink" Target="https://www.sec.gov/Archives/edgar/data/1051514/000119312521062226/d23266dex103.htm" TargetMode="External"/><Relationship Id="rId21" Type="http://schemas.openxmlformats.org/officeDocument/2006/relationships/hyperlink" Target="https://www.sec.gov/Archives/edgar/data/1051514/000119312521062226/d23266dex104.htm" TargetMode="External"/><Relationship Id="rId22" Type="http://schemas.openxmlformats.org/officeDocument/2006/relationships/hyperlink" Target="https://www.sec.gov/Archives/edgar/data/1051514/000105151421000066/ex_10-5.htm" TargetMode="External"/><Relationship Id="rId23" Type="http://schemas.openxmlformats.org/officeDocument/2006/relationships/hyperlink" Target="https://www.sec.gov/Archives/edgar/data/1051514/000105151421000079/ex_10-1.htm" TargetMode="External"/><Relationship Id="rId24" Type="http://schemas.openxmlformats.org/officeDocument/2006/relationships/hyperlink" Target="https://www.sec.gov/Archives/edgar/data/1051514/000114036122010347/brhc10035383_ex10-79.htm" TargetMode="External"/><Relationship Id="rId25" Type="http://schemas.openxmlformats.org/officeDocument/2006/relationships/hyperlink" Target="https://www.sec.gov/Archives/edgar/data/1051514/000105151421000066/ex_10-1.htm" TargetMode="External"/><Relationship Id="rId26" Type="http://schemas.openxmlformats.org/officeDocument/2006/relationships/hyperlink" Target="https://www.sec.gov/Archives/edgar/data/1051514/000105151421000066/ex_10-2.htm" TargetMode="External"/><Relationship Id="rId27" Type="http://schemas.openxmlformats.org/officeDocument/2006/relationships/hyperlink" Target="https://www.sec.gov/Archives/edgar/data/1051514/000105151421000066/ex_10-3.htm" TargetMode="External"/><Relationship Id="rId28" Type="http://schemas.openxmlformats.org/officeDocument/2006/relationships/hyperlink" Target="https://www.sec.gov/Archives/edgar/data/1051514/000105151421000066/ex_10-3.htm" TargetMode="External"/><Relationship Id="rId29" Type="http://schemas.openxmlformats.org/officeDocument/2006/relationships/hyperlink" Target="https://www.sec.gov/Archives/edgar/data/1051514/000114036122010347/brhc10035383_ex10-84.htm" TargetMode="External"/><Relationship Id="rId30" Type="http://schemas.openxmlformats.org/officeDocument/2006/relationships/hyperlink" Target="https://www.sec.gov/Archives/edgar/data/1051514/000105151422000003/ex_10-1.htm" TargetMode="External"/><Relationship Id="rId31" Type="http://schemas.openxmlformats.org/officeDocument/2006/relationships/hyperlink" Target="https://www.sec.gov/Archives/edgar/data/1051514/000114036122018639/brhc10037199_ex10-2.htm" TargetMode="External"/><Relationship Id="rId32" Type="http://schemas.openxmlformats.org/officeDocument/2006/relationships/hyperlink" Target="https://www.sec.gov/Archives/edgar/data/1051514/000105151421000051/ex_10-1.htm" TargetMode="External"/><Relationship Id="rId33" Type="http://schemas.openxmlformats.org/officeDocument/2006/relationships/hyperlink" Target="https://www.sec.gov/Archives/edgar/data/1051514/000114036122018639/brhc10037199_ex10-3.htm" TargetMode="External"/><Relationship Id="rId34" Type="http://schemas.openxmlformats.org/officeDocument/2006/relationships/hyperlink" Target="https://www.sec.gov/Archives/edgar/data/1051514/000114036122018639/brhc10037199_ex10-4.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58230</Words>
  <CharactersWithSpaces>378530</CharactersWithSpaces>
  <Paragraphs>6336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