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jc w:val="center"/>
        <w:ind w:left="3920" w:right="1120" w:hanging="2794"/>
        <w:spacing w:after="0" w:line="500" w:lineRule="auto"/>
        <w:tabs>
          <w:tab w:leader="none" w:pos="1328"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highlight w:val="black"/>
        </w:rPr>
      </w:pPr>
    </w:p>
    <w:p>
      <w:pPr>
        <w:jc w:val="center"/>
        <w:ind w:left="4340" w:right="940" w:hanging="3399"/>
        <w:spacing w:after="0" w:line="484" w:lineRule="auto"/>
        <w:tabs>
          <w:tab w:leader="none" w:pos="115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0-11635</w:t>
      </w:r>
    </w:p>
    <w:p>
      <w:pPr>
        <w:jc w:val="center"/>
        <w:spacing w:after="0"/>
        <w:rPr>
          <w:sz w:val="20"/>
          <w:szCs w:val="20"/>
          <w:color w:val="auto"/>
        </w:rPr>
      </w:pPr>
      <w:r>
        <w:rPr>
          <w:rFonts w:ascii="Times New Roman" w:cs="Times New Roman" w:eastAsia="Times New Roman" w:hAnsi="Times New Roman"/>
          <w:sz w:val="43"/>
          <w:szCs w:val="43"/>
          <w:b w:val="1"/>
          <w:bCs w:val="1"/>
          <w:color w:val="auto"/>
        </w:rPr>
        <w:t>STRATA SKIN SCIENCES,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80" w:type="dxa"/>
            <w:vAlign w:val="bottom"/>
            <w:tcBorders>
              <w:bottom w:val="single" w:sz="8" w:color="auto"/>
            </w:tcBorders>
            <w:gridSpan w:val="2"/>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13-3986004</w:t>
            </w:r>
          </w:p>
        </w:tc>
        <w:tc>
          <w:tcPr>
            <w:tcW w:w="2100" w:type="dxa"/>
            <w:vAlign w:val="bottom"/>
            <w:tcBorders>
              <w:bottom w:val="single" w:sz="8" w:color="auto"/>
            </w:tcBorders>
          </w:tcPr>
          <w:p>
            <w:pPr>
              <w:spacing w:after="0"/>
              <w:rPr>
                <w:sz w:val="21"/>
                <w:szCs w:val="21"/>
                <w:color w:val="auto"/>
              </w:rPr>
            </w:pPr>
          </w:p>
        </w:tc>
      </w:tr>
      <w:tr>
        <w:trPr>
          <w:trHeight w:val="198"/>
        </w:trPr>
        <w:tc>
          <w:tcPr>
            <w:tcW w:w="4280" w:type="dxa"/>
            <w:vAlign w:val="bottom"/>
            <w:gridSpan w:val="2"/>
          </w:tcPr>
          <w:p>
            <w:pPr>
              <w:jc w:val="center"/>
              <w:ind w:left="115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left="5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c>
          <w:tcPr>
            <w:tcW w:w="2100" w:type="dxa"/>
            <w:vAlign w:val="bottom"/>
          </w:tcPr>
          <w:p>
            <w:pPr>
              <w:spacing w:after="0"/>
              <w:rPr>
                <w:sz w:val="17"/>
                <w:szCs w:val="17"/>
                <w:color w:val="auto"/>
              </w:rPr>
            </w:pPr>
          </w:p>
        </w:tc>
      </w:tr>
      <w:tr>
        <w:trPr>
          <w:trHeight w:val="234"/>
        </w:trPr>
        <w:tc>
          <w:tcPr>
            <w:tcW w:w="428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gridSpan w:val="2"/>
          </w:tcPr>
          <w:p>
            <w:pPr>
              <w:jc w:val="center"/>
              <w:ind w:right="13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6"/>
        </w:trPr>
        <w:tc>
          <w:tcPr>
            <w:tcW w:w="7200" w:type="dxa"/>
            <w:vAlign w:val="bottom"/>
            <w:gridSpan w:val="6"/>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5 Walnut Grove Drive, Suite 140 Horsham, Pennsylvania</w:t>
            </w:r>
          </w:p>
        </w:tc>
        <w:tc>
          <w:tcPr>
            <w:tcW w:w="1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19044</w:t>
            </w:r>
          </w:p>
        </w:tc>
        <w:tc>
          <w:tcPr>
            <w:tcW w:w="2100" w:type="dxa"/>
            <w:vAlign w:val="bottom"/>
          </w:tcPr>
          <w:p>
            <w:pPr>
              <w:spacing w:after="0"/>
              <w:rPr>
                <w:sz w:val="24"/>
                <w:szCs w:val="24"/>
                <w:color w:val="auto"/>
              </w:rPr>
            </w:pPr>
          </w:p>
        </w:tc>
      </w:tr>
      <w:tr>
        <w:trPr>
          <w:trHeight w:val="234"/>
        </w:trPr>
        <w:tc>
          <w:tcPr>
            <w:tcW w:w="4280" w:type="dxa"/>
            <w:vAlign w:val="bottom"/>
            <w:tcBorders>
              <w:top w:val="single" w:sz="8" w:color="auto"/>
            </w:tcBorders>
            <w:gridSpan w:val="2"/>
          </w:tcPr>
          <w:p>
            <w:pPr>
              <w:jc w:val="center"/>
              <w:ind w:left="11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(Zip code)</w:t>
            </w:r>
          </w:p>
        </w:tc>
        <w:tc>
          <w:tcPr>
            <w:tcW w:w="2100" w:type="dxa"/>
            <w:vAlign w:val="bottom"/>
            <w:tcBorders>
              <w:top w:val="single" w:sz="8" w:color="auto"/>
            </w:tcBorders>
          </w:tcPr>
          <w:p>
            <w:pPr>
              <w:spacing w:after="0"/>
              <w:rPr>
                <w:sz w:val="20"/>
                <w:szCs w:val="20"/>
                <w:color w:val="auto"/>
              </w:rPr>
            </w:pPr>
          </w:p>
        </w:tc>
      </w:tr>
      <w:tr>
        <w:trPr>
          <w:trHeight w:val="414"/>
        </w:trPr>
        <w:tc>
          <w:tcPr>
            <w:tcW w:w="9140" w:type="dxa"/>
            <w:vAlign w:val="bottom"/>
            <w:gridSpan w:val="7"/>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(215) 619-3200</w:t>
            </w:r>
          </w:p>
        </w:tc>
        <w:tc>
          <w:tcPr>
            <w:tcW w:w="2100" w:type="dxa"/>
            <w:vAlign w:val="bottom"/>
          </w:tcPr>
          <w:p>
            <w:pPr>
              <w:spacing w:after="0"/>
              <w:rPr>
                <w:sz w:val="24"/>
                <w:szCs w:val="24"/>
                <w:color w:val="auto"/>
              </w:rPr>
            </w:pPr>
          </w:p>
        </w:tc>
      </w:tr>
      <w:tr>
        <w:trPr>
          <w:trHeight w:val="432"/>
        </w:trPr>
        <w:tc>
          <w:tcPr>
            <w:tcW w:w="9140" w:type="dxa"/>
            <w:vAlign w:val="bottom"/>
            <w:gridSpan w:val="7"/>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100" w:type="dxa"/>
            <w:vAlign w:val="bottom"/>
          </w:tcPr>
          <w:p>
            <w:pPr>
              <w:spacing w:after="0"/>
              <w:rPr>
                <w:sz w:val="24"/>
                <w:szCs w:val="24"/>
                <w:color w:val="auto"/>
              </w:rPr>
            </w:pPr>
          </w:p>
        </w:tc>
      </w:tr>
      <w:tr>
        <w:trPr>
          <w:trHeight w:val="439"/>
        </w:trPr>
        <w:tc>
          <w:tcPr>
            <w:tcW w:w="4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9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Pr>
          <w:p>
            <w:pPr>
              <w:spacing w:after="0"/>
              <w:rPr>
                <w:sz w:val="20"/>
                <w:szCs w:val="20"/>
                <w:color w:val="auto"/>
              </w:rPr>
            </w:pPr>
          </w:p>
        </w:tc>
        <w:tc>
          <w:tcPr>
            <w:tcW w:w="27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SSKN</w:t>
            </w:r>
          </w:p>
        </w:tc>
        <w:tc>
          <w:tcPr>
            <w:tcW w:w="220" w:type="dxa"/>
            <w:vAlign w:val="bottom"/>
          </w:tcPr>
          <w:p>
            <w:pPr>
              <w:spacing w:after="0"/>
              <w:rPr>
                <w:sz w:val="20"/>
                <w:szCs w:val="20"/>
                <w:color w:val="auto"/>
              </w:rPr>
            </w:pPr>
          </w:p>
        </w:tc>
        <w:tc>
          <w:tcPr>
            <w:tcW w:w="4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414"/>
        </w:trPr>
        <w:tc>
          <w:tcPr>
            <w:tcW w:w="9140" w:type="dxa"/>
            <w:vAlign w:val="bottom"/>
            <w:gridSpan w:val="7"/>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2100" w:type="dxa"/>
            <w:vAlign w:val="bottom"/>
          </w:tcPr>
          <w:p>
            <w:pPr>
              <w:spacing w:after="0"/>
              <w:rPr>
                <w:sz w:val="24"/>
                <w:szCs w:val="24"/>
                <w:color w:val="auto"/>
              </w:rPr>
            </w:pPr>
          </w:p>
        </w:tc>
      </w:tr>
      <w:tr>
        <w:trPr>
          <w:trHeight w:val="460"/>
        </w:trPr>
        <w:tc>
          <w:tcPr>
            <w:tcW w:w="9140" w:type="dxa"/>
            <w:vAlign w:val="bottom"/>
            <w:gridSpan w:val="7"/>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21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2"/>
        </w:trPr>
        <w:tc>
          <w:tcPr>
            <w:tcW w:w="9140" w:type="dxa"/>
            <w:vAlign w:val="bottom"/>
            <w:gridSpan w:val="7"/>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21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70" w:lineRule="exact"/>
        <w:rPr>
          <w:sz w:val="24"/>
          <w:szCs w:val="24"/>
          <w:color w:val="auto"/>
        </w:rPr>
      </w:pPr>
    </w:p>
    <w:p>
      <w:pPr>
        <w:ind w:right="2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68" w:orient="portrait"/>
          <w:cols w:equalWidth="0" w:num="1">
            <w:col w:w="11240"/>
          </w:cols>
          <w:pgMar w:left="320" w:top="516" w:right="339" w:bottom="0" w:gutter="0" w:footer="0" w:header="0"/>
        </w:sectPr>
      </w:pP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Smaller reporting company Emerging growth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8" w:lineRule="exact"/>
        <w:rPr>
          <w:sz w:val="24"/>
          <w:szCs w:val="24"/>
          <w:color w:val="auto"/>
        </w:rPr>
      </w:pPr>
    </w:p>
    <w:p>
      <w:pPr>
        <w:sectPr>
          <w:pgSz w:w="11900" w:h="16868" w:orient="portrait"/>
          <w:cols w:equalWidth="0" w:num="8">
            <w:col w:w="1620" w:space="140"/>
            <w:col w:w="220" w:space="720"/>
            <w:col w:w="1220" w:space="120"/>
            <w:col w:w="640" w:space="720"/>
            <w:col w:w="1520" w:space="140"/>
            <w:col w:w="300" w:space="720"/>
            <w:col w:w="1960" w:space="140"/>
            <w:col w:w="1060"/>
          </w:cols>
          <w:pgMar w:left="320" w:top="516" w:right="339" w:bottom="0" w:gutter="0" w:footer="0" w:header="0"/>
          <w:type w:val="continuous"/>
        </w:sect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4"/>
          <w:szCs w:val="24"/>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number of shares outstanding of our common stock as of June 30, 2024 was 3,506,025 shares. The aggregate market value of voting and non-voting common equity held by non-affiliates on the registrant was $4,958,532, computed by reference to the closing market price of $3.07 of the common stock as</w:t>
      </w:r>
    </w:p>
    <w:p>
      <w:pPr>
        <w:sectPr>
          <w:pgSz w:w="11900" w:h="16868" w:orient="portrait"/>
          <w:cols w:equalWidth="0" w:num="1">
            <w:col w:w="11240"/>
          </w:cols>
          <w:pgMar w:left="320" w:top="516"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of June 30, 2024 and 1,615,157 shares held by non-affiliates. As of March 20, 2025, the number of shares outstanding of our common stock was 4,171,161.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Portions of the proxy statement relating to STRATA Skin Sciences, Inc.’s 2025 Annual Meeting of Stockholders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80" w:type="dxa"/>
            <w:vAlign w:val="bottom"/>
            <w:gridSpan w:val="1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80" w:type="dxa"/>
            <w:vAlign w:val="bottom"/>
            <w:gridSpan w:val="10"/>
            <w:shd w:val="clear" w:color="auto" w:fill="CCEEFF"/>
          </w:tcPr>
          <w:p>
            <w:pPr>
              <w:jc w:val="center"/>
              <w:ind w:right="4300"/>
              <w:spacing w:after="0" w:line="142" w:lineRule="exact"/>
              <w:rPr>
                <w:sz w:val="20"/>
                <w:szCs w:val="20"/>
                <w:color w:val="auto"/>
              </w:rPr>
            </w:pPr>
            <w:r>
              <w:rPr>
                <w:rFonts w:ascii="Times New Roman" w:cs="Times New Roman" w:eastAsia="Times New Roman" w:hAnsi="Times New Roman"/>
                <w:sz w:val="16"/>
                <w:szCs w:val="16"/>
                <w:b w:val="1"/>
                <w:bCs w:val="1"/>
                <w:color w:val="0000EE"/>
              </w:rPr>
              <w:t>PART I</w:t>
            </w:r>
          </w:p>
        </w:tc>
        <w:tc>
          <w:tcPr>
            <w:tcW w:w="9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3</w:t>
            </w: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6"/>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7160" w:type="dxa"/>
            <w:vAlign w:val="bottom"/>
            <w:tcBorders>
              <w:top w:val="single" w:sz="8" w:color="CCEEFF"/>
            </w:tcBorders>
            <w:gridSpan w:val="1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8460" w:type="dxa"/>
            <w:vAlign w:val="bottom"/>
            <w:tcBorders>
              <w:bottom w:val="single" w:sz="8" w:color="CCEEFF"/>
            </w:tcBorders>
            <w:gridSpan w:val="2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920" w:type="dxa"/>
            <w:vAlign w:val="bottom"/>
            <w:gridSpan w:val="11"/>
            <w:shd w:val="clear" w:color="auto" w:fill="CCEEFF"/>
          </w:tcPr>
          <w:p>
            <w:pPr>
              <w:jc w:val="center"/>
              <w:ind w:right="426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II</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74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420" w:type="dxa"/>
            <w:vAlign w:val="bottom"/>
            <w:tcBorders>
              <w:bottom w:val="single" w:sz="8" w:color="CCEEFF"/>
            </w:tcBorders>
            <w:gridSpan w:val="1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100" w:type="dxa"/>
            <w:vAlign w:val="bottom"/>
            <w:gridSpan w:val="13"/>
            <w:shd w:val="clear" w:color="auto" w:fill="CCEEFF"/>
          </w:tcPr>
          <w:p>
            <w:pPr>
              <w:jc w:val="center"/>
              <w:ind w:right="4100"/>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100" w:type="dxa"/>
            <w:vAlign w:val="bottom"/>
            <w:tcBorders>
              <w:bottom w:val="single" w:sz="8" w:color="CCEEFF"/>
            </w:tcBorders>
            <w:gridSpan w:val="1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1"/>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90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200" w:type="dxa"/>
            <w:vAlign w:val="bottom"/>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960" w:type="dxa"/>
            <w:vAlign w:val="bottom"/>
            <w:gridSpan w:val="12"/>
            <w:shd w:val="clear" w:color="auto" w:fill="CCEEFF"/>
          </w:tcPr>
          <w:p>
            <w:pPr>
              <w:jc w:val="center"/>
              <w:ind w:right="4240"/>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PART IV</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6"/>
        </w:trPr>
        <w:tc>
          <w:tcPr>
            <w:tcW w:w="11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175"/>
        </w:trPr>
        <w:tc>
          <w:tcPr>
            <w:tcW w:w="11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1600" w:type="dxa"/>
            <w:vAlign w:val="bottom"/>
            <w:tcBorders>
              <w:top w:val="single" w:sz="8" w:color="0000EE"/>
            </w:tcBorders>
            <w:gridSpan w:val="5"/>
          </w:tcPr>
          <w:p>
            <w:pPr>
              <w:spacing w:after="0"/>
              <w:rPr>
                <w:sz w:val="15"/>
                <w:szCs w:val="15"/>
                <w:color w:val="auto"/>
              </w:rPr>
            </w:pPr>
          </w:p>
        </w:tc>
        <w:tc>
          <w:tcPr>
            <w:tcW w:w="6040" w:type="dxa"/>
            <w:vAlign w:val="bottom"/>
            <w:tcBorders>
              <w:top w:val="single" w:sz="8" w:color="CCEEFF"/>
            </w:tcBorders>
            <w:gridSpan w:val="1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6, 2024, we effected a one-for-ten reverse stock split of our outstanding shares of common stock. Unless specifically provided otherwise herein, all share and per share information in this Annual Report on Form 10-K has been adjusted to reflect the reverse stock split.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(the “Annual Report”), including the sections entitled “Risk Factors,” “Management’s Discussion and Analysis of Financial Condition and Results of Operations” and “Business,”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“should,” “expect,” “intend,” “plan,” “anticipate,” “believe,” “estimate,” “predict,” “will,” “could,” “project,” “target,” “potential,”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include, but are not limited to, statements about:</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forecasts of future business performance, consumer trends and macro-economic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market, competitive conditions, and competitive product introductions;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plans or objectives of management for future operations, products or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the FDA or other regulatory agencies with respect to our products or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third-party reimbursement of laser treatments using our devices;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sufficiency of our cash resources, expenses, capital requirements and needs for additional financing and our ability to obtain additional financing;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operate our business without infringing upon the intellectual property rights of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results of existing or future litigation or government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emergencies, the spread of infectious disease or pandemics;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or assumptions underlying or related to any of the above items.</w:t>
      </w:r>
    </w:p>
    <w:p>
      <w:pPr>
        <w:spacing w:after="0" w:line="225" w:lineRule="exact"/>
        <w:rPr>
          <w:sz w:val="20"/>
          <w:szCs w:val="20"/>
          <w:color w:val="auto"/>
        </w:rPr>
      </w:pPr>
    </w:p>
    <w:p>
      <w:pPr>
        <w:jc w:val="both"/>
        <w:ind w:firstLine="583"/>
        <w:spacing w:after="0" w:line="255"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Annual Report might not occur. Investors are cautioned not to place undue reliance on the forward-looking statements, which speak only as of the date of this Annual Report, even if subsequently made available by us on our website or otherwise. We are not under any obligation, and we expressly disclaim any obligation, to update or alter any forward-looking statements, whether as a result of new information, future events or otherwise. You should not regard these statements as a representation or warranty by us or any other person that we will achieve our objectives and plans in any specified time frame, or at all. All subsequent forward-looking statements attributable to us or to any person acting on our behalf are expressly qualified in their entirety by the cautionary statements contained or referred to in this section.</w:t>
      </w:r>
    </w:p>
    <w:p>
      <w:pPr>
        <w:spacing w:after="0" w:line="18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as exhibits with the understanding that our actual future results, performance, and events and circumstances may be materially different from what we expect.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medical technology company in dermatology dedicated to developing, commercializing and marketing innovative products for the treatment of dermatologic conditions. Our products include the XTRAC® and Pharos® excimer lasers and VTRAC® lamp systems utilized in the treatment of psoriasis, vitiligo and various other skin conditions. Our products also include the TheraClear® Acne Therapy System utilized in the treatment of mild to moderate inflammatory, comedonal and pustular acne. The Pharos device is no longer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Overview</w:t>
      </w:r>
    </w:p>
    <w:p>
      <w:pPr>
        <w:spacing w:after="0" w:line="229"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We were incorporated in the State of New York in 1989 under the name Electro-Optical Sciences, Inc. and subsequently reincorporated under the laws of the State of Delaware in 1997. In April 2010, we changed our name to MELA Sciences, Inc. In June 2015, we completed the acquisition of the XTRAC® Excimer Laser and the VTRAC® excimer lamp businesses from PhotoMedex, Inc. (the “Acquisition”). Prior to the Acquisition, the Company’s only product was the MelaFind® system, or MelaFind, a device for aiding dermatologists in the evaluation of clinically atypical pigmented skin lesions. On January 5, 2016, we changed our name to STRATA Skin Sciences, Inc., and we have discontinued the MelaFind business.</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August 2021 and January 2022, we acquired the Pharos U.S. dermatology business and the TheraClear acne treatment business,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Post-COVID-19 Pandemic</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March 2020, the global pandemic related to a new strain of coronavirus (“COVID-19”) has negatively impacted business conditions in the industry in which we operate, disrupted global supply chains, constrained workforce participation and created significant volatility and disruption of financial markets. The pandemic led to the suspension of elective procedures in the U.S. and to the temporary closure of many physician practices, which are our primary customers. While most offices have reopened, some physician practices closed and never reopened. Accordingly, the COVID-19 pandemic and its variants have negatively impacted our operational and financial performance, including our ability to execute our business strategies and initiatives in the expected time frames and those of our primary customers. It has also negatively impacted our supply chains and transport, customer behavior and staffing.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Russia-Ukraine War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outbreak of the Russia-Ukraine War, Ukraine was the largest exporter of noble gases including neon, krypton, and xenon and has historically been the source of a significant amount of gas supplied to us by our contract suppliers. Neon gas is essential to the proper functioning of our lasers. Our suppliers have been resourceful in continuing to supply gases to us but cannot assure us that the supply will not remain uninterrupted. The reduced supply and ongoing conflict have also impacted the price of gas worldwide. Additionally, the Creating Helpful Incentives to Produce Semiconductors and Science Act of 2022 has led to a further tightening of rare gas supplies as semiconductor chip manufacturers reconfigure their supply chains to address the need to secure their own supplies of rare gases for use in the manufacture of computer chips.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XTRAC and Pharos Systems and VTRAC Systems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XTRAC and Pharos excimer laser technology emits highly concentrated UV light targeted primarily towards autoimmune dermatological skin disorders such as psoriasis, vitiligo, atopic dermatitis, and eczema, among others. The XTRAC system received U.S. Food and Drug Administration (“FDA”) clearance in 2000 and the Pharos system in 2004, and excimer laser has since become a widely recognized treatment for psoriasis, vitiligo and other skin diseases. Psoriasis and vitiligo alone affect up to 13 million people in the U.S. and 195 million people worldwide. VTRAC is a UV light lamp system that works in much the same way as the XTRAC. It received FDA clearance in August 2005 and Conformité Européenne (“CE”) mark approval in January 2006 and has been marketed exclusively in international markets.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Present in natural sunlight, ultraviolet B (“UVB”) is an accepted psoriasis treatment that penetrates the skin to slow the growth of damaged skin cells thereby placing the disease into remission for a period of time. Studies have shown that the remission time can last three to six months or longer. In our XTRAC system, our targeted therapy approach delivers optimum amounts of UVB light directly to skin lesions, sparing healthy tissue. Many peer reviewed studies have proven that the XTRAC excimer laser can clear psoriasis faster and produce longer remissions than other UVB modalities, resulting in fewer treatments to produce the desired result.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market three XTRAC excimer models. In January 2020, we announced the FDA granted clearance for our XTRAC Momentum Excimer Laser System platform. This clearance is the first full platform clearance since 2008. Momentum has an increased power range to improve patient safety and treatment efficiency; a new and exclusive proprietary short-hair tip, providing ease of use in difficult-to-treat scalp psoriasis; and an enhanced user interface and database. In February 2022, we announced the commercial launch of our next generation excimer laser system, XTRAC Momentum® 1.0, which delivers higher power and a faster repetition rate than the current models, along with a new user interface and slim design. We continue to market the XTRAC Velocity, our third-generation laser and the XTRAC Ultra Plus, which is also a highly effective model marketed primarily in certain international markets. The Momentum, Velocity and the Ultra Plus are capable of treating mild, moderate and severe psoriasis, vitiligo, atopic dermatitis and leukoderma.</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XTRAC excimer laser is marketed in the U.S. mainly under a recurring revenue model in which we place the system in the physician’s office for no upfront charge and generate our revenue on a per-use basis (referred to herein as the dermatology recurring procedures model or segment). We estimate that there are over 1,000 XTRAC lasers in use in the U.S., of which 864 systems were, as of December 31, 2024, included in our dermatology recurring procedures revenue model. The Pharos business we acquired in 2021 provides us with the opportunity to convert the Pharos customer base to our XTRAC excimer laser system. The target U.S. audience for XTRAC lasers comprises approximately 3,500 dermatologists who perform disease management. Until 2019, in markets outside the U.S., the XTRAC laser had been marketed primarily as dermatology procedures equipment sales through distributors in over twenty-five countries. The VTRAC is marketed exclusively in international markets through the same distributors.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2019, we have been transitioning our international dermatology procedures equipment sales through our master distributor to a direct distribution model for equipment sales and recurring revenue on a country by country basis. In January 2022, our agreement with our master distributor expired. We have signed distributor contracts by year as follows: 2019 – Korea, 2020 – Japan, 2021 – China, Israel, Saudi Arabia, Kuwait, Oman, Qatar, Bahrain, UAE, Jordan and Iraq, and 2023 – Mexico and India. We have renewed and/or amended several of these agreements as required to keep their terms current.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Studies have concluded that XTRAC treatment leads to significant improvement in psoriasis plaques and severity scores in as few as six to ten treatments. Treatment protocols recommend that patients receive two treatments per week with a minimum of 48 hours between treatments. Our data shows that treatment with XTRAC excimer lasers has an 89% efficacy rate and produces only minimal side effects. In support of its clinical effect, the XTRAC excimer lasers have been cited in over 45 clinical studies and research programs, with findings published in peer-reviewed medical journals around the world. The XTRAC excimer laser has also been endorsed by the National Psoriasis Foundation, and its use for psoriasis is covered by nearly all major insurance companies, including Medicare. XTRAC treatment is a reimbursable procedure for psoriasis under three Current Procedural Terminology (“CPT”) codes that differ based on the total skin surface area being treated. Insurance Reimbursement to physicians varies based upon insurance company and location. The national CPT code reimbursement established by the Center for Medicaid Services (“CMS”), which forms the basis for most insurance companies’ reimbursement levels, ranges for the three codes between $155 per treatment to $232 per treatment for 2024. Reimbursement is expected to change in 2025. (See “Third Party Reimbursement” below.)</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Psoriasis, the Disease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World Health Organization describes psoriasis as a chronic, noncommunicable, painful, disfiguring and disabling disease for which there is no cure, and which generates a great negative impact on patients’ quality of life. It manifests itself in many forms and typically causes raised, red, scaly patches that appear on the skin and may cause itchiness, burning or stinging. Psoriasis is also associated with other serious health conditions such as diabetes, heart disease and depression.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Psoriasis Treatment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essentially three main types of psoriasis treatments, as listed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Topical therapies: These can include corticosteroids, vitamin D3 derivatives, coal tar, anthralin and retinoids, among others, that are sold as a cream, gel, liquid, spray, or ointment. The efficacy of topical agents varies from person to person, although these products are commonly associated with a loss of potency over time as people develop resistance.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Phototherapy: This is the area in which we operate. Our XTRAC Excimer Systems are FDA-cleared, reimbursed by insurance, and exhibit none of the significant side-effects associated with some alternative therapies.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Systemic medications: There are a number of prescription medications available for psoriasis, which are given either by mouth or as an injection.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popularity and use of these medications are growing significantly, notwithstanding their cost and their potentially severe side-effects.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XTRAC excimer lasers are particularly significant and beneficial for mild to moderate psoriasis patients who prefer a noninvasive treatment approach without the side effects of invasive, systemic agents, or to patients who have developed a resistance to topical agents. In many cases, patients treated with topical or systemic therapies are also candidates for phototherapy.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Using the XTRAC and Pharos Excimer Lasers to Treat Vitiligo and Other Skin Diseases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UV light therapy is considered to be an effective and safe treatment for many skin disorders beyond psoriasis. To this effect, the XTRAC technology is FDA cleared for the treatment of not only psoriasis but also vitiligo (a skin pigment deficiency), atopic dermatitis (eczema) and leukoderma, which is a localized loss of skin pigmentation that occurs after an inflammatory skin condition such as a burn, intralesional steroid injection, or post dermabrasion.</w:t>
      </w:r>
    </w:p>
    <w:p>
      <w:pPr>
        <w:spacing w:after="0" w:line="180" w:lineRule="exact"/>
        <w:rPr>
          <w:sz w:val="20"/>
          <w:szCs w:val="20"/>
          <w:color w:val="auto"/>
        </w:rPr>
      </w:pPr>
    </w:p>
    <w:p>
      <w:pPr>
        <w:jc w:val="both"/>
        <w:ind w:firstLine="648"/>
        <w:spacing w:after="0" w:line="219" w:lineRule="exact"/>
        <w:rPr>
          <w:sz w:val="20"/>
          <w:szCs w:val="20"/>
          <w:color w:val="auto"/>
        </w:rPr>
      </w:pPr>
      <w:r>
        <w:rPr>
          <w:rFonts w:ascii="Times New Roman" w:cs="Times New Roman" w:eastAsia="Times New Roman" w:hAnsi="Times New Roman"/>
          <w:sz w:val="18"/>
          <w:szCs w:val="18"/>
          <w:color w:val="auto"/>
        </w:rPr>
        <w:t>XTRAC technology for vitiligo patients typically requires more therapy sessions than for psoriasis but is dependent on the severity of the disease. In the treatment of vitiligo, we believe the XTRAC functions to reactivate the skin’s melanocytes (the cells that produce melanin), which causes pigment to return. To date, there is not sufficient data to confirm how long patients can expect their vitiligo to be in remission after XTRAC therapy. Based on anecdotal reports, we believe that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pigmentation may last for several years. Historically, vitiligo treatments had been considered cosmetic procedures by insurance companies, and as such were not reimbursed. However, we estimate that as of December 31, 2024, approximately 56% of insurers consider XTRAC treatments to be medically necessary for the treatment of vitiligo and therefore provide coverage. Recent changes to CPT code descriptions may impact the extent of this coverage in the future.</w:t>
      </w:r>
    </w:p>
    <w:p>
      <w:pPr>
        <w:spacing w:after="0" w:line="20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several factors have limited the growth of the use of XTRAC treatments for those who suffer from psoriasis and vitiligo. Specifically, we believe that awareness of the positive effects of XTRAC treatments has not been high enough among both sufferers and providers; and that the treatment regimen requiring sometimes up to 12 or more treatments has limited XTRAC use to certain patient populations. Addressing the lack of knowledge issue, we have a direct to patient advertising campaign aimed at motivating psoriasis and vitiligo patients to seek out XTRAC treatments from our physician partners. Specific advertisements encourage prospective patients to contact our patient advocacy center via telephone or web site, wherein we provide information on the treatment and insurance coverage, and ultimately we can schedule an appointment for the prospective patient to be evaluated by a physician within our customer network, convenient to their location, to determine if they would benefit from XTRAC treatments.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STRATAPEN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2017, we entered into an OEM agreement with Esthetic Education, LLC to private label the STRATAPEN device. STRATAPEN® MicroSystems is a micropigmentation device that provides advanced technology offering exceptional results. This contract expired in January 2020, and we continued to sell parts and accessories through June 30, 2024. The Company no longer offers the device or accessories.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TheraClear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2022, we acquired the TheraClear assets from Theravant Corporation. The TheraClear Acne Therapy System delivers a two-part process for treating inflammatory acne, pustular acne and comedonal acne that combines a vacuum and broadband light that has been proven to clear skin rapidly for fast and visible reduction in acne and associated redness. Treatments are very comfortable, take 10 minutes to perform, are highly effective, and can be used on all skin types.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XTRAC product line competes with pharmaceutical compounds and methodologies used to treat an array of skin conditions. Such alternative treatments may be in the form of topical products, systemic medications, and phototherapies from both large pharmaceutical and smaller devices companies. Our major competitors for dermatological solutions include The Daavlin Company, National Biologic Corporation, and pharmaceutical companies producing topical products and systemic and biologic medications. Currently, our XTRAC system is believed to be a competitive therapy to alternative treatments on the basis of its recognized clinical effect, minimal side effect profile, cost-effectiveness and reimbursement.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TheraClear device competes with a range of over the counter treatment methodologies, as well as prescription only medications, and in-office treatment methodologies.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manufacture our XTRAC products at our 17,000 sq. ft. facility in Carlsbad, California. Our California facility is certified as ISO 13485 compliant. ISO 13485 is an International standardization written by the International Organization for Standardization, which publishes requirements for a comprehensive quality management system for the design and manufacture of medical devices. Certification to the standard is awarded by accredited third parties. We maintain third-party relationships for the manufacture and/or maintenance of our Pharos and TheraClear systems. We believe that our present manufacturing capacity at these facilities is sufficient to meet foreseeable demand for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Efforts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research and development team, including engineers, consists of two employees. We conduct research and development activities at our facility located in Carlsbad, California. Our research and development efforts are focused on the application of our XTRAC system for the treatment of inflammatory skin disorders.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policy is to protect our intellectual property by obtaining U.S. and foreign patents to protect technology, inventions and improvements important to the development of our business. As of December 31, 2024, 12 issued U.S. patents are in force or pending and several of these patents have foreign counterparts issued and pending.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also rely on trade secrets and technical know-how in the manufacture and marketing of our products. We require our employees, consultants and contractors to execute confidentiality agreements with respect to our proprietary information.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patented methods and apparatus, together with proprietary trade-secret technology and registered trademarks, give us a competitive advantage; however, whether a patent is infringed or is valid, or whether or not a patent application should be granted, are all complex matters of science and law, and therefore, we cannot be certain that, if challenged, our patented methods and apparatus and/or trade-secret technology would be upheld. If one or more of our patented methods, patented apparatus or trade-secret technology rights, or our trademark rights, are invalidated, rejected or found unenforceable, that could reduce or eliminate any competitive advantage we might otherwise have had.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Products and Manufacturing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products and research and development activities are regulated by numerous governmental authorities, principally the FDA and corresponding state and foreign regulatory agencies. Any medical device or cosmetic we manufacture and/or distribute will be subject to pervasive and continuing regulation by the FDA. The U.S. Food, Drug and Cosmetics Act, or FD&amp;C Act, and other federal and state laws and regulations govern the pre-clinical and clinical testing, design, manufacture, use, labeling and promotion of medical devices, including our XTRAC, VTRAC, and TheraClear devices. Product development and approval for medical devices within this regulatory framework takes a number of years and involves the expenditure of substantial resources.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U.S., medical devices are classified into three different classes, Class I, II and III, on the basis of controls deemed necessary to provide a reasonable assurance of the safety and effectiveness of the device. Class I devices are subject to general controls, such as facility registration, medical device listing, labeling requirements, premarket notification (unless the medical device has been specifically exempted from this requirement), adherence to the FDA’s Quality System Regulation, and requirements concerning the submission of device-related adverse event reports to the FDA. Class II devices are subject to general and special controls, such as performance standards, premarket notification (510(k) clearance), post-market surveillance, and FDA Quality System Regulations. Generally, Class III devices are those that must receive premarket approval by the FDA to provide a reasonable assurance of their safety and effectiveness, such as life-sustaining, life-supporting and implantable devices, or new devices that have been found not to be substantially equivalent to existing legally marketed devices. Both XTRAC and TheraClear are Class II devices.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limited exceptions, before a new medical device can be distributed in the U.S., marketing authorization typically must be obtained from the FDA through a premarket notification under Section 510(k) of the FD&amp;C Act, or through a premarket approval application under Section 515 of the FD&amp;C Act. The FDA will typically grant a 510(k) clearance if it can be established that the device is substantially equivalent to a predicate device that is a legally marketed Class I or II device (or to pre-amendments Class III devices for which the FDA has yet to call for premarket approvals). We have received FDA 510(k) clearance to market our XTRAC and VTRAC systems for the treatment of psoriasis, vitiligo, atopic dermatitis and leukoderma. The FDA granted these clearances under Section 510(k) on the basis of substantial equivalence to other technologies that had received prior clearances.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any devices that are cleared through the 510(k) process, modifications or enhancements that could significantly affect the safety or effectiveness of the device, or that constitute a major change in the intended use of the device, will require a new 510(k) submission. In August 2003 the FDA granted 510(k) clearance for a significantly modified version of our XTRAC laser, which we have marketed as the XTRAC XL Plus Excimer Laser System. In October 2004 the FDA granted clearance for the XTRAC Ultra (AL 8000) Excimer Laser System and, in March 2008 we received 510(k) clearance for the XTRAC Velocity (AL 10000) Excimer Laser System. These approvals were originally granted to PhotoMedex, Inc. and acquired by us in the June 2015 acquisition described above. In January 2020, we announced the FDA granted clearance of our XTRAC Momentum Excimer Laser platform.</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TheraClear device has been cleared by the FDA through the 510(k) process.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routine inspection by the FDA and, as noted above, must comply with a number of regulatory requirements applicable to firms that manufacture medical devices and other FDA-regulated products for distribution within the U.S., including requirements related to device labeling (including prohibitions against promoting products for unapproved or off-label uses), facility registration, medical device listing, adherence to the FDA’s Quality System Regulation, good manufacturing processes and requirements for the submission of reports regarding certain device-related adverse events to the FDA.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the radiological health provisions of the FD&amp;C Act and the general and laser-specific radiation safety regulations administered by the Center for Devices and Radiological Health, or CDRH, of the FDA. These regulations require laser manufacturers to file initial, new product, supplemental and annual reports, to maintain quality control, product testing and sales records, to incorporate certain design and operating features (depending on the class of product) in lasers sold to end users pursuant to a performance standard and to certify and appropriately label each laser sold as belonging to one of four classes, based on the level of radiation from the laser that is accessible to users. Moreover, we are obligated to repair, replace, or refund the cost of certain electronic products that are found to fail to comply with applicable federal standards or otherwise are found to be defective. The CDRH is empowered to seek fines and other remedies for violations of the regulatory requirements. To date, we have filed the documentation with the CDRH for our laser products requiring such filing and have not experienced any difficulties or incurred significant costs in complying with such regulations.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approved by the European Union to affix the CE mark to our XTRAC laser and VTRAC lamp systems. This certification is a mandatory conformity mark for products placed on the market in the European Economic Area, which is evidence that they meet all European Community, or EC, quality assurance standards and compliance with applicable European medical device directives for the production of medical devices. This will enable us to market our approved products in all of the member countries that accept the CE mark. We also are required to comply with additional individual national requirements that are in addition to those required by these nations. Our products have also met the requirements for marketing in various other countries.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TheraClear device is being manufactured for us by a third party, who is subject to the same regulations. We rely on the manufacturer to ensure compliance with the regulations. Failure to comply with applicable regulatory requirements can result in fines, injunctions, civil penalties, recalls or seizures of products, total or partial suspensions of production, refusals by the U.S. and foreign governments to permit product sales and criminal prosecution. We are, or may become, subject to various other federal, state, local and foreign laws, regulations and policies relating to, among other things, safe working conditions, good laboratory practices and the use and disposal of hazardous or potentially hazardous substances used in connection with research and development.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of the significant federal funding involved in Medicare and Medicaid, Congress and the states have enacted, and actively enforce, a number of laws whose purpose is to eliminate fraud and abuse in federal health care programs. Our business is subject to compliance with these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Anti-Kickback Laws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U.S., there are federal and state anti-kickback laws that generally prohibit the payment or receipt of kickbacks, bribes or other remuneration in exchange for the referral of patients or other health-related business. The U.S. federal healthcare programs’ Anti-Kickback Statute makes it unlawful for individuals or entities knowingly and willfully to solicit, offer, receive or pay any kickback, bribe or other remuneration, directly or indirectly, in exchange for or to induce the purchase, lease or order, or arranging for or recommending purchasing, leasing, or ordering, any good, facility, service, or item for which payment may be made in whole or in part under a federal healthcare program such as Medicare or Medicaid. The Anti-Kickback Statute covers “any remuneration,” which has been broadly interpreted to include anything of value, including for example gifts, certain discounts, the furnishing of free supplies, equipment or services, credit arrangements, payments of cash and waivers of payments. Several courts have interpreted the statute’s intent requirement to mean that if any one purpose of an arrangement involving remuneration is to induce referrals of federal healthcare covered business, the arrangement can be found to violate the statute. Penalties for violations include criminal penalties and civil sanctions such as fines, imprisonment and possible exclusion from Medicare, Medicaid and other federal healthcare programs. In addition, several courts have permitted kickback cases brought under the Federal False Claims Act to proceed, as discussed in more detail below.</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reach of the Anti-Kickback Statute was broadened by the Patient Protection and Affordable Care Act of 2010 (the “ACA”), which, among other things, amends the intent requirement of the federal Anti-Kickback Statute. Pursuant to the statutory amendment,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the Anti-Kickback Statute is broadly written and encompasses many harmless or efficient arrangements, Congress authorized the Office of Inspector General of the U.S. Department of Health and Human Services, or OIG, to issue a series of regulations, known as “safe harbors.” For example, there are regulatory safe harbors for payments to bona fide employees, properly reported discounts and rebates, and for certain investment interests. Although an arrangement that fits into one or more of these exceptions or safe harbors is immune from prosecution, arrangements that do not fit squarely within an exception or safe harbor do not necessarily violate the statute. The failure of a transaction or arrangement to fit precisely within one or more of the exceptions or safe harbors does not necessarily mean that it is illegal or that prosecution will be pursued. However, conduct and business arrangements that arguably implicate the Anti-Kickback Statute but do not fully satisfy all the elements of an exception or safe harbor may be subject to increased scrutiny by government enforcement authorities such as the OIG.</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states have laws that implicate anti-kickback restrictions similar to the Anti-Kickback Statute. Some of these state prohibitions apply, regardless of whether federal health care program business is involved, to arrangements such as for self-pay or private-pay patients. Government officials have focused their enforcement efforts on marketing of healthcare services and products, among other activities, and recently have brought cases against companies, and certain sales, marketing and executive personnel, for allegedly offering unlawful inducements to potential or existing customers in an attempt to procure their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Civil False Claims Act and State False Claims Laws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federal civil False Claims Act imposes liability on any person or entity who, among other things, knowingly and willfully presents, or causes to be presented, a false or fraudulent claim for payment by a federal healthcare program, including Medicare and Medicaid. The “qui tam,” or “whistleblower” provisions of the False Claims Act allow a private individual to bring actions on behalf of the federal government alleging that the defendant has submitted a false claim to the federal government, and to share in any monetary recovery. In recent years, the number of suits brought against healthcare providers by private individuals has increased dramatically. Medical device companies, like us, can be held liable under false claims laws, even if they do not submit claims to the government, when they are deemed to have caused submission of false claims by, among other things, providing incorrect coding or billing advice about their products to customers that file claims, or by engaging in kickback arrangements with customers that file claims.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False Claims Act also has been used to assert liability on the basis of misrepresentations with respect to the services rendered and in connection with alleged off-label promotion of products. Our future activities relating to the manner in which we sell our products and document our prices, such as the reporting of discount and rebate information and other information affecting federal, state and third-party reimbursement of our products, and the sale and marketing of our products, may be subject to scrutiny under these laws.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When an entity is determined to have violated the False Claims Act, it may be required to pay up to three times the actual damages sustained by the government, plus civil penalties of $5,500 to $11,000 for each separate false claim. There are many potential bases for liability under the False Claims Act. A number of states have enacted false claim laws analogous to the federal civil False Claims Act and many of these state laws apply where a claim is submitted to any state or private third-party payer. In this environment, our engagement of physician consultants in product development and product training and education could subject us to similar scrutiny. We are unable to predict whether we would be subject to actions under the False Claims Act or a similar state law, or the impact of such actions. However, the costs of defending such claims, as well as any sanctions imposed, could significantly affect our financial performance.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HIPAA Fraud and Other Regulations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or HIPAA, created a class of federal crimes known as the “federal health care offenses,” including healthcare fraud and false statements relating to healthcare matters. The HIPAA health care fraud statute prohibits, among other things, knowingly and willfully executing, or attempting to execute, a scheme or artifice to defraud any healthcare benefit program, or to obtain by means of false or fraudulent pretenses, any money under the control of any health care benefit program, including private payers. A violation of this statute is a felony and may result in fines, imprisonment and/or exclusion from government-sponsored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 services. A violation of this statute is a felony and may result in fines and/or imprisonment. Entities that are found to have aided or abetted in a violation of the HIPAA federal health care offenses are deemed by statute to have committed the offense and are punishable as a principal.</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the U.S. Foreign Corrupt Practices Act and similar anti-bribery laws applicable in non-U.S. jurisdictions that generally prohibit companies and their intermediaries from making improper payments to non-U.S. government officials for the purpose of obtaining or retaining business. Because of the predominance of government-sponsored healthcare systems around the world, most of our customer relationships outside of the U.S. will be with governmental entities and therefore subject to such anti-bribery laws.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January 1, 2020, the California Consumer Privacy Act (CCPA) became effective. The CCPA provides certain privacy protections for California residents not generally available to citizens of any other state. The law provides California residents with the right to know that their personal data is being collected; know whether that data is being sold or disclosed; to prevent the sale of their personal information; to access their personal data; to request that a business delete their personal information; and to not be discriminated against for exercising these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HIPAA and Other Privacy Regulations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that implement HIPAA also establish uniform standards governing the conduct of certain electronic healthcare transactions and protecting the security and privacy of individually identifiable health information maintained or transmitted by healthcare providers, health plans and healthcare clearinghouses, which are referred to as “covered entities.” Several regulations have been promulgated under HIPAA’s regulations including: the Standards for Privacy of Individually Identifiable Health Information, or the Privacy Rule, which restricts the use and disclosure of certain individually identifiable health information; the Standards for Electronic Transactions, or the Transactions Rule, which establishes standards for common healthcare transactions, such as claims information, plan eligibility, payment information and the use of electronic signatures; and the Security Standards for the Protection of Electronic Protected Health Information, or the Security Rule, which requires covered entities to implement and maintain certain security measures to safeguard certain electronic health information. Although we do not believe we are a covered entity and therefore are not currently directly subject to these standards, we expect that our customers generally will be covered entities and may ask us to contractually comply with certain aspects of these standards by entering into requisite business associate agreements. While the government intended this legislation to reduce administrative expenses and burdens for the healthcare industry, our compliance with certain provisions of these standards entails significant costs for us.</w:t>
      </w:r>
    </w:p>
    <w:p>
      <w:pPr>
        <w:spacing w:after="0" w:line="192" w:lineRule="exact"/>
        <w:rPr>
          <w:sz w:val="20"/>
          <w:szCs w:val="20"/>
          <w:color w:val="auto"/>
        </w:rPr>
      </w:pPr>
    </w:p>
    <w:p>
      <w:pPr>
        <w:jc w:val="both"/>
        <w:ind w:firstLine="583"/>
        <w:spacing w:after="0" w:line="256" w:lineRule="auto"/>
        <w:rPr>
          <w:sz w:val="20"/>
          <w:szCs w:val="20"/>
          <w:color w:val="auto"/>
        </w:rPr>
      </w:pPr>
      <w:r>
        <w:rPr>
          <w:rFonts w:ascii="Times New Roman" w:cs="Times New Roman" w:eastAsia="Times New Roman" w:hAnsi="Times New Roman"/>
          <w:sz w:val="18"/>
          <w:szCs w:val="18"/>
          <w:color w:val="auto"/>
        </w:rPr>
        <w:t>The Health Information Technology for Economic and Clinical Health, or HITECH, Act has increased civil penalty amounts for violations of HIPAA by either covered entities or business associates up to an annual maximum of $1.5 million for uncorrected violations based on willful neglect. Imposition of these penalties is more likely now because HITECH significantly strengthens enforcement. It requires the Department of Health &amp; Human Services (“HHS”) to conduct periodic audits to confirm compliance and to investigate any violation that involves willful neglect which carries mandatory penalties. Additionally, state attorneys general are authorized to bring civil actions seeking either injunctions or damages in response to violations of HIPAA Privacy and Security Rules that threaten the privacy of state residents.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In addition to federal regulations issued under HIPAA, some states have enacted privacy and security statutes or regulations that, in some cases, are more stringent than those issued under HIPAA. In those cases, it may be necessary to modify our planned operations and procedures to comply with the more stringent state laws. If we fail to comply with applicable state laws and regulations, we could be subject to additional sanctions.</w:t>
      </w:r>
    </w:p>
    <w:p>
      <w:pPr>
        <w:spacing w:after="0" w:line="176" w:lineRule="exact"/>
        <w:rPr>
          <w:sz w:val="20"/>
          <w:szCs w:val="20"/>
          <w:color w:val="auto"/>
        </w:rPr>
      </w:pPr>
    </w:p>
    <w:p>
      <w:pPr>
        <w:jc w:val="both"/>
        <w:ind w:firstLine="583"/>
        <w:spacing w:after="0" w:line="258" w:lineRule="auto"/>
        <w:rPr>
          <w:sz w:val="20"/>
          <w:szCs w:val="20"/>
          <w:color w:val="auto"/>
        </w:rPr>
      </w:pPr>
      <w:r>
        <w:rPr>
          <w:rFonts w:ascii="Times New Roman" w:cs="Times New Roman" w:eastAsia="Times New Roman" w:hAnsi="Times New Roman"/>
          <w:sz w:val="18"/>
          <w:szCs w:val="18"/>
          <w:color w:val="auto"/>
        </w:rPr>
        <w:t>Federal and state consumer protection laws are being applied increasingly by the United States Federal Trade Commission, or FTC, and state attorneys general to regulate the collection, use, storage and disclosure of personal or patient information, through websites or otherwise, and to regulate the presentation of web site content. Courts may also adopt the standards for fair information practices promulgated by the FTC, which concern consumer notice, choice, security and access. Numerous other countries have or are developing laws governing the collection, use, disclosure and transmission of personal or patient information.</w:t>
      </w:r>
    </w:p>
    <w:p>
      <w:pPr>
        <w:spacing w:after="0" w:line="183"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HIPAA as well as other federal and state laws apply to our receipt of patient identifiable health information in connection with research and clinical trials. We collaborate with other individuals and entities in conducting research and all involved parties must comply with applicable laws. Therefore, the compliance of the physicians, hospitals or other providers or entities with whom we collaborate also impacts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Third-Party Reimbursement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market our phototherapy products successfully depends in large part on the extent to which various third parties are willing to reimburse patients or providers for the cost of medical procedures utilizing our treatment products. These third parties include government authorities, private health insurers and other organizations, such as health maintenance organizations. 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Accordingly, if less costly drugs or other treatments are available, third-party payers may not authorize, or may limit, reimbursement for the use of our products, even if our products are safer or more effective than the alternatives. Additionally, they may require changes to our pricing structure and revenue model before authorizing reimbursement.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Reimbursement systems in international markets vary significantly by country and by region within some countries, and reimbursement approvals must be obtained on a country-by-country basis. Many international markets have government-managed healthcare systems that control reimbursement for new devices and procedures. In most markets, there are private insurance systems, as well as government-managed systems. Our XTRAC products remain substantially without approval for reimbursement in many international markets under either government or private reimbursement systems. To date, patients of the TheraClear products have had limited success in obtaining third party reimbursement for such treatments.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Many private plans key their reimbursement rates to rates set by the CMS under three distinct CPT codes based on the total skin surface area being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national rates were as follows:</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96920 – designated for: the total area less than 250 square centimeters. CMS assigned a 2024 national payment of $155 per treatment;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96921 – designated for: the total area 250 to 500 square centimeters. CMS assigned a 2024 national payment of $170 per treatment;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96922 – designated for: the total area over 500 square centimeters. CMS assigned a 2024 national payment of $232 per treatment.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November 1, 2024, CMS has advised that its updated 2025 reimbursement rates will be as follows:</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96920 – designated for: the total area less than 250 square centimeters. CMS assigned a 2025 national payment of $135 per treatment;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96921 – designated for: the total area 250 to 500 square centimeters. CMS assigned a 2025 national payment of $145 per treatment;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96922 – designated for: the total area over 500 square centimeters. CMS assigned a 2025 national payment of $183 per treatment.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national rates are adjusted by overhead factors applicable to each state.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As of December 31, 2024, we had 106 full-time employees, which consisted of three executive officers, three vice presidents, 37 sales and marketing staff, 28 people engaged in manufacturing of lasers, 16 customer-field service personnel, two engaged in research and development and 17 finance and administration staff.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Domestically, our XTRAC customers consist of dermatologists and dermatological group clinics who partner with us primarily in our dermatology procedures recurring revenue model. As of December 31, 2024, we have 864 partner clinics throughout the United States. Internationally, we have been transitioning our international dermatology procedures equipment sales through our master distributor to a direct distribution model for equipment sales and recurring revenue on a country by country basis. We have signed distributor contracts by year as follows: 2019 – Korea, 2020 – Japan, 2021 – China, Israel, Saudi Arabia, Kuwait, Oman, Qatar, Bahrain, UAE, Jordan and Iraq, and 2023 – Mexico and India. We have renewed and/or amended several of these agreements as required to keep their terms current.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Commission. These filings are available to the public on the Internet at the Commission’s website at http://www.sec.gov.</w:t>
      </w:r>
    </w:p>
    <w:p>
      <w:pPr>
        <w:spacing w:after="0" w:line="162" w:lineRule="exact"/>
        <w:rPr>
          <w:sz w:val="20"/>
          <w:szCs w:val="20"/>
          <w:color w:val="auto"/>
        </w:rPr>
      </w:pPr>
    </w:p>
    <w:p>
      <w:pPr>
        <w:jc w:val="both"/>
        <w:ind w:firstLine="601"/>
        <w:spacing w:after="0" w:line="256" w:lineRule="auto"/>
        <w:rPr>
          <w:sz w:val="20"/>
          <w:szCs w:val="20"/>
          <w:color w:val="auto"/>
        </w:rPr>
      </w:pPr>
      <w:r>
        <w:rPr>
          <w:rFonts w:ascii="Times New Roman" w:cs="Times New Roman" w:eastAsia="Times New Roman" w:hAnsi="Times New Roman"/>
          <w:sz w:val="18"/>
          <w:szCs w:val="18"/>
          <w:color w:val="auto"/>
        </w:rPr>
        <w:t>Our Internet address is http://www.strataskinsciences.com (this website address is not intended to function as a hyperlink and the information contained on our website is not intended to be a part of this Annual Report). We make available free of charge on https://strataskinsciencesinc.gcs-web.com/sec-filings our annual, quarterly and current reports, and amendments to those reports, as soon as reasonably practical after we electronically file such material with, or furnish it to, the Commission. We may from time to time provide important disclosures to investors by posting them in the Investor Relations section of our website, as allowed by the Commission’s rules. The information on the website listed above is not and should not be considered part of this Annual Report and is intended to be an inactive textual reference only.</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in this Annual Report and the exhibits hereto, the following risk factors should be considered carefully in evaluating our business. Our business, financial condition, cash flows or results of operations could be materially adversely affected by any of these risks. Additional risks not presently known to us or that we currently deem immaterial may also adversely affect our business, financial condition, cash flows or results of operations. The following discussion of risk factors contains forward-looking statements as discussed on page 1. Our business routinely encounters and addresses risks, some of which may cause our future results to be different – sometimes materially different – than we presently anticipate.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 Operations</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for a number of years and anticipate that we will incur continued losses for the foreseeable future.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epidemics or pandemics may affect our ability to develop, market and sell our products, disrupt regulatory activities or have other adverse effects on our business and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an uninterrupted supply of the gases used to power our lasers, as the Russia-Ukraine War has disrupted supplies of rare gases.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integrate newly acquired businesses, joint ventures and other partnerships into our operations or achieve expected profitability from our acquisitions.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products depends on third-party reimbursement of patients' costs, which could result in potentially reduced prices or reduced demand and adversely affect our revenues and business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in our customer education efforts could have a material adverse effect on our revenue and cash flow.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revenue from significant distributors declines, we may have difficulty replacing the lost revenue, which would negatively affect our results and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sales and marketing force or to market and distribute our products effectively, we may experience diminished revenues and profits.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reliant on a limited number of suppliers for production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materially adversely affect our financial condition and our ability to operate our business, react to changes in the economy or industry or pay our debts and meet our obligations under our debt and could divert our cash flow from operations for debt payments.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actual liability for state sales and use taxes is higher than our accrued liability, it could have a material impact on our financial condition.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complex statutes prohibiting fraud and abuse, and both we and physicians utilizing our products could be subject to significant penalties for noncompliance.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directly or indirectly, to federal and state healthcare fraud and abuse laws and regulations and could face substantial penalties if we are unable to fully comply with such laws.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effectiveness and safety of our devices are not supported by long-term data, and the level of acceptance of our products by dermatologists does not increase or is not maintained, our revenues could decline.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or maintain necessary FDA clearances and approvals, or to maintain continued clearances, or equivalents thereof in the U.S. and relevant foreign markets, could hurt our ability to distribute and market our products, and our products are subject to recall by such agencies.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clinical trials necessary to support a 510(k) notice or PMA application, for new or modified products, will be expensive and will require the enrollment of large numbers of patients, and suitable patients may be difficult to identify and recruit.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policy changes may have a material adverse effect on us.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acceptance in international markets requires regulatory approvals from foreign governments and may depend on third party reimbursement of participants’ cost.</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more successfully than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social media as part of our marketing strategy, which could give rise to regulatory violations, liability, breaches of data security or reputational damage.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companies on which we rely for advertising may change their policies limiting our ability to reach our target markets.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manufacturers or suppliers fail to comply with the FDA’s Quality System Regulation or any applicable state equivalent, our manufacturing operations could be interrupted and our potential product sales and operating results could suffer.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medical products cause or contribute to a death or a serious injury, or malfunction in certain ways, we will be subject to medical device reporting regulations, which can result in voluntary corrective actions or agency enforcement actions.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need for additional funds in the future and there is no guarantee that we will be able to generate those funds from our business, and if we do not have enough capital to fund operations, then we will have to cut costs or raise funds.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disruptions or failures in our information technology systems and network infrastructures, including through cyber-attacks or other third-party breaches that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health safety laws may result in liabilities, expenses and restrictions on our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Common Stock</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shares of common stock could be delisted from the Nasdaq Capital Market which could result in, among other things, a decline in the price of our common stock and less liquidity for holders of shares of our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will be further diluted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meaning purchasers of our common stock could incur substantial losses.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documents and Delaware law may inhibit a takeover that stockholders consider favorable and could also limit the market price of our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losses for a number of years and anticipate that we will incur continued losses for the near future.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2015, we have devoted substantially all of our resources in the commercialization and sales of the XTRAC products. Our net loss for the year ended December 31, 2024 was approximately $10.1 million, and as of December 31, 2024, we had an accumulated deficit of approximately $248.1 million. Our losses, among other things, have had and may continue to have an adverse effect on the adequacy of our capitalization and cash flow.</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or pandemics may affect our ability to develop, market and sell our products, disrupt regulatory activities or have other adverse effects on our business and operations. In addition, public health epidemics or pandemics may adversely impact economies worldwide, which could result in adverse effects on our business, operations and prospects.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and operations could be adversely affected by public health epidemics or pandemics, including the recent COVID-19 pandemic, impacting the markets and industries in which we and our collaborators operate. We and our partners have faced and may in the future face disruptions that affect our ability to operate due to various factors, including:</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source raw materials and supplies;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decline in business activity;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destabilization of the markets and negative impacts on the healthcare system globally, which could negatively impact our ability to market and sell our products, including through the disruption of health care activities in general and elective health care procedures in particular, the inability of our sales team to contact and/or visit doctors in person, patients’ interest in starting or continuing procedures involving our products and our ability to support patients that presently use our products; and</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accessing the capital and credit markets on favorable terms, or at all, and a severe disruption and instability in the global financial markets, or deteriorations in credit and financing conditions which could affect our access to capital necessary to fund business operations.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 the Biden Administration ended the public health emergency declarations related to the COVID-19 pandemic in May 2023 and the FDA ended a number of COVID-related policies. The FDA has retained a number of COVID-19-related policies but with appropriate changes, as applicable. Additionally, the Trump Administration has issued a number of Executive Orders related to global health issues. It is unclear how, if at all, these policies will impact our efforts to develop and commercialize our products.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in the future face impediments or delays to regulatory meetings and approvals due to any pandemic measures. We cannot be certain what the overall impact of such pandemics will be on our business, although for the reasons described above such pandemics have the potential to adversely affect our business, financial condition, results of operations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 uninterrupted supply of the gases used to power our lasers, as the Russia-Ukraine War has disrupted supplies of rare gases.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outbreak of the Russia-Ukraine War, Ukraine was the world’s largest exporter of noble gases including neon, krypton and xenon. Historically, Ukraine has been the source of a significant amount of gas supplied to the Company by our contract suppliers. Neon gas is essential to the proper functioning of our lasers. Our suppliers have been resourceful in continuing to supply gases to us but cannot assure us that the supply will remain uninterrupted. The reduced supply and war have also impacted the price of gas worldwide. Additionally, the Creating Helpful Incentives to Produce Semiconductors and Science Act of 2022 has led to a further tightening of rare gas supplies as chip manufacturers reconfigure their supply chains to address the need to secure their own supplies of rare gases for use in the manufacture of computer chips, while struggling with the disruption caused by this war.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assets or businesses, or form collaborations or make investments in other companies or technologies that could harm our operating results, dilute our stockholders’ ownership, increase our debt or cause us to incur significant expense.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assets, including preclinical, clinical or commercial stage products or product candidates, or businesses, or strategic alliances and collaborations, to expand our existing technologies and operations. We may not identify or complete these transactions in a timely manner, on a cost-effective basis, or at all, and we may not realize the anticipated benefits of any such transaction, any of which could have a detrimental effect on our financial condition, results of operations and cash flows. We have limited experience with acquiring other companies, products or product candidates, and limited experience with forming strategic alliances and collaborations. We may not be able to find suitable acquisition candidates, and if we make any acquisitions, we may not be able to integrate these acquisitions successfully into our existing business and we may incur additional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strategic alliances or collaboration partners or identify other investment opportunities, and we may experience losses related to any such investments.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finance any acquisitions or collaborations, we may choose to issue debt or equity securities as consideration. Any such issuance of shares would dilute the ownership of our stockholders. If the price of our common stock is low or volatile, we may not be able to acquire other assets or companies or fund a transaction using our stock as consideration. Alternatively, it may be necessary for us to raise additional funds for acquisitions through public or private financings, and such additional funds may not be available on terms that are favorable to us, or at all.</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newly acquired businesses, joint ventures and other partnerships into our operations or achieve expected profitability from our acquisitions.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cannot successfully integrate acquisitions (including the Pharos and TheraClear businesses), joint ventures and other partnerships on a timely basis, we may be unable to generate sufficient revenue to offset acquisition costs, we may incur costs in excess of what we anticipate, and our expectations of future results of operations, including certain cost savings and synergies, may not be achieved. Acquisitions involve substantial risks, including:</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in integrating operations, technologies, services, accounting and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management resources from existing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related to entering geographic regions where we do not have prior experience;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obtaining sufficient equity or debt financing;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customers.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we finance acquisitions by issuing equity securities or securities convertible into equity securities, our existing stockholders’ interests would be diluted, which, in turn, could adversely impact the market price of our stock. Moreover, we could finance an acquisition with debt, resulting in higher leverage and interest costs and could increase losses and losses per share which could impact the price of our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laser treatments of psoriasis, vitiligo, atopic dermatitis and leukoderma and/or any of our future products or services may fail to gain market acceptance or be impacted by competitive products, services or therapies which could adversely affect our competitive position.</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generated limited worldwide commercial distribution for our products. In the United States, our XTRAC systems are placed at physician offices at no upfront charge to the physician and we are generally paid on a per-usage method where we retain ownership of the system. We cannot assure you that our products and services will find sufficient acceptance in the marketplace under our sales strategies.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face a risk that other companies in the market for dermatological products and services may be able to provide dermatologists a higher overall financial return and therefore compromise our ability to increase our installed base of users and ensure they engage in optimal usage of our products. If, for example, such other companies have products or medical devices that require less time commitment from the dermatologist and yield an attractive return on a dermatologist’s time and investment, we may find that our efforts to increase our base of users are hindered.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face a risk that the overall cost of systemic or biologic medications or treatment modalities become less expensive through the development of generics or other means. We may be faced with pressure to reduce our costs to be competitive which may negatively impact our business. In addition, our business could be negatively impacted if these medications are prescribed for less severe cases of the diseases or if new, more effective or less expensive medications are developed.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6"/>
        <w:spacing w:after="0" w:line="256" w:lineRule="auto"/>
        <w:rPr>
          <w:sz w:val="20"/>
          <w:szCs w:val="20"/>
          <w:color w:val="auto"/>
        </w:rPr>
      </w:pPr>
      <w:r>
        <w:rPr>
          <w:rFonts w:ascii="Times New Roman" w:cs="Times New Roman" w:eastAsia="Times New Roman" w:hAnsi="Times New Roman"/>
          <w:sz w:val="18"/>
          <w:szCs w:val="18"/>
          <w:color w:val="auto"/>
        </w:rPr>
        <w:t>Whether a treatment may be delegated to non-physician staff members and, if so, to whom and to what extent, are matters that may vary state by state, as these matters are within the province of the state medical boards. In states that may be more restrictive in such delegation, a physician may decline to adopt the XTRAC system into his or her practice, deeming it to be fraught with too many constraints and finding other outlets for the physician’s time and staff’s time to be more remunerative. There can be no assurance that we will be successful in persuading such medical boards that a liberal standard for delegation is appropriate for the XTRAC system, based on its design for ease and safety of use. If we are not successful, we may find that even if a geographic region has wide insurance reimbursement, the region’s physicians may decline to adopt the XTRAC system into their practices.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therefore cannot assure you that the marketplace will be receptive to our excimer laser technology over competing products, services and therapies or that a cure will not be found for the underlying diseases we are focused on treating. Failure of our products to achieve market acceptance could have a material adverse effect on our business, financial condition and results of operations.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while this introduction is specifically for those patients that might not be able to avail themselves of in-office treatments, it may be viewed by our partner clinics as a channel conflict and cause a deterioration in our relationships with our current partners or negatively impact our ability to grow the number of partner clinics.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products depends on third-party reimbursement of patients' costs, which could result in potentially reduced prices or reduced demand and adversely affect our revenues and business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market our products successfully, especially XTRAC treatments, depends in large part on the extent to which various third parties are willing to reimburse patients or providers for the costs of medical procedures utilizing such products. These third parties include government authorities, private health insurers and other organizations, such as health maintenance organizations, whose patterns of reimbursement may change as a result of new standards for reimbursement determined by these third parties or because of the programs and policies enacted under the ACA.</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Third-party payers are systematically challenging the prices charged for medical products and services. They may deny reimbursement if they determine that a prescribed device is not used in accordance with cost-effective treatment methods as determined by the payer, or is experimental, unnecessary or inappropriate. Further, although third parties may approve reimbursement, such approvals may be under terms and conditions that discourage use of the XTRAC system. Accordingly, if less costly drugs or other treatments are available, third-party payers may not authorize or may limit reimbursement for the use of our products, even if our products are safer or more effective than the alternatives.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medical insurance policies and treatment coverage have been and may be affected by the parameters of the ACA or successor policies enacted by the current or any new administration. While the ACA’s stated purpose is to expand access to coverage, it also mandates certain requirements regarding the types and limitations of insurance coverage. There can be no guarantee that the changes in coverage under the ACA will not affect the type and level of reimbursement for our products.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CPT codes for all procedures are subject to continued reevaluation. Should CMS reduce reimbursement for the CPT codes for XTRAC treatment or raise reimbursement for competitive products, we may see a decline in our recurring revenue business as well as a decline in new XTRAC installations.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received reimbursement approvals from a majority of private healthcare plans for the XTRAC system, we cannot give assurance that these private plans will continue to adopt or maintain favorable reimbursement policies or accept the XTRAC system in its clinical role as a second-line therapy in the treatment of psoriasis. Additionally, third-party payers may require further clinical studies or changes to our pricing structure and revenue model before authorizing or continuing reimbursement.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based on published coverage policies and payment practices of private and Medicare insurance plans, we estimate that approximately 85% of the insured population in the U.S. is covered by insurance coverage or payment policies that reimburse physicians for using the XTRAC system for treatment of psoriasis. We can give no assurance that health insurers will not adversely modify their reimbursement policies for the use of the XTRAC system in the future.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Currently, there is little insurance reimbursement coverage for acne treatments, such as those provided by TheraClear. In order for TheraClear to be successful, patients and decision makers will need to be able to pay for treatments without insurance reimbursement.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continuing development of our products depends upon our developing and maintaining strong working relationships with physicians.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research, development, marketing and sale of our current products and any potential new and improved products or future product indications for which we receive regulatory clearance or approval depend upon our maintaining working relationships with physicians. We rely on these professionals to provide us with considerable knowledge and experience regarding the development, marketing and sale of our products. Physicians assist us as researchers, marketing and product consultants and public speakers. If we cannot maintain our strong working relationships with these professionals and continue to receive their advice and input, the development and marketing of our products could suffer, which could have a material adverse effect on our business, financial condition, and results of operations. At the same time, companies in the medical device industry are under increasing scrutiny by the U.S. Department of Health and Human Services Office of Inspector General, or OIG, and the U.S. Department of Justice, or DOJ, for improper relationships with physicians. Our failure to comply with requirements governing the industry’s relationships with physicians, including the reporting of certain payments to physicians under the National Physician Payment Transparency Program (Open Payments) or an investigation into our compliance by the OIG or the DOJ,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in our customer education efforts could have a material adverse effect on our revenue and cash flow.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important to the success of our marketing efforts to educate physicians and technicians how to properly use our products. We rely on physicians to spend their time and money to participate in our pre-installation educational sessions. Moreover, if physicians and technicians use our products improperly, they may have unsatisfactory patient outcomes or, in the case of the XTRAC system, cause patient injury, which may give rise to negative publicity or lawsuits against us, any of which could have a material adverse effect on our reputation, revenues and profitability.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revenue from significant distributors declines, we may have difficulty replacing the lost revenue, which would negatively affect our results and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depend on several key distributors for a material portion of our sales, especially in our international business. While we no longer rely upon a single master distributor for our international sales, we now rely upon several in-country distributors in connection with this business. If, for example, a distributor finds that the financial incentives underlying the distributor relationship are no longer attractive, we may need to reduce our margins in order to continue the relationship or identify a new distributor, which could take a significant amount of time. This could have a significant negative effect on our results and our operations, including, but not limited to, failing to comply with a financial covenant in our credit facility with MidCap Financial Trust (“MidCap”).</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sales and marketing force or to market and distribute our products effectively, we may experience diminished revenues and profits.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significant risks involved in managing our sales and marketing force and marketing our products, including our ability:</w:t>
      </w:r>
    </w:p>
    <w:p>
      <w:pPr>
        <w:spacing w:after="0" w:line="225"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hire, as needed, a sufficient number of qualified sales and marketing personnel with the aptitude, skills and understanding to market our products;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adequately train our sales and marketing force in the use and benefits of all our products and services, thereby making them more effective promoters;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manage our sales and marketing force and our ancillary channels (e.g., telesales) such that variable and semi-fixed expenses grow at a lesser rate than our revenues; and</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set the prices and other terms and conditions for treatments using the XTRAC system in a complex legal environment so that treatments will be accepted as attractive skin health and appropriate alternatives to conventional modalities and treatments.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increase acceptance and utilization of our products, we may expand our sales and marketing programs in the U.S. While we may be able to draw on currently available personnel within our organization to meet this need, we also expect that we will have to increase the number of representatives devoted to the sales and marketing programs and to broaden, through such representatives, the talents we have at our disposal. In some cases, we may look outside our organization for assistance in marketing our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reliant on a limited number of suppliers for production of our products.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Production of our products requires specific component parts obtained from our suppliers. While we believe that we could find alternate suppliers, in the event that our current suppliers fail to meet our needs, a change in suppliers or any significant delay in our ability to have access to such resources could have a material adverse effect on our delivery schedules, business, operating results and financial condition. Moreover, in the event we can no longer utilize this supplier or acquire this resource and must identify a new supplier or substitute a different resource, such change may trigger an obligation for us to comply with additional FDA regulatory requirements including, but not limited to, premarketing authorization and Quality System Requirements (“QSR”).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adversely affect our financial condition and our ability to operate our business, react to changes in the economy or industry or pay our debts and meet our obligations and could divert our cash flow from operations for debt payments.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2021, we entered into a credit and security agreement with MidCap, which was amended in January 2022, September 2022 and June 2023. On February 20, 2024, we amended the credit and security agreement to, among other things, revise the applicable minimum net revenue threshold financial covenant and on March 27, 2024, we further amended the credit and security agreement (as amended to date, the “Senior Term Facility”) to clarify certain provisions related to the maintenance of cash collateral accounts. See “Management's Discussion and Analysis of Financial Condition and Results of Operations - Liquidity and Capital Resources” for discussion included in Item 7 of this Annual Report on Form 10-K. In addition, subject to restrictions in the agreements governing our credit facilities, we may incur additional debt.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indebtedness could have negative consequences, including the following:</w:t>
      </w:r>
    </w:p>
    <w:p>
      <w:pPr>
        <w:spacing w:after="0" w:line="225"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for us to satisfy our obligations, including debt service requirements under our outstanding debt, resulting in possible defaults on and acceleration of such indebtedness;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debt service requirements, acquisitions or other general corporate purposes may be impaired;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cash flow from operations may be dedicated to the payment of principal and interest on our debt, therefore reducing our ability to use our cash flow to fund our operations, capital expenditures, future business opportunities, acquisitions and other purposes;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more vulnerable to economic downturns and adverse industry conditions and our flexibility to plan for, or react to, changes in our business or industry is more limited;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capitalize on business opportunities and to react to competitive pressures, as compared to our competitors, may be compromised due to our high level of debt;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additional funds or to refinance debt may be limited.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all of our debt under the Senior Term Facility bears interest at variable rates. If these rates increase, our debt service obligations will increase even though the amount borrowed remains the same, and our net income and cash flows, including cash available for servicing our indebtedness, correspondingly decrease. Accordingly, our ability to borrow additional funds may be reduced and risks related to our indebtedness would intensify. Each quarter-point increase in the variable interest rates would increase interest expense on our current variable rate debt by approximately $38,000 during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actual liability for state sales and use taxes is higher than our accrued liability, it could have a material impact on our financial condition.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Included in accrued state sales and use taxes are certain known and estimated sales and use taxes and related penalties and interest to taxing authorities. In our recurring revenue model, we place the XTRAC system in the physician’s office under an arrangement for no upfront charge and generate our revenue on a per-use basis.</w:t>
      </w:r>
    </w:p>
    <w:p>
      <w:pPr>
        <w:spacing w:after="0" w:line="176" w:lineRule="exact"/>
        <w:rPr>
          <w:sz w:val="20"/>
          <w:szCs w:val="20"/>
          <w:color w:val="auto"/>
        </w:rPr>
      </w:pPr>
    </w:p>
    <w:p>
      <w:pPr>
        <w:jc w:val="both"/>
        <w:ind w:firstLine="646"/>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subject to audits performed by state taxing authorities. These actions and proceedings are generally based on the state’s position that the arrangements entered into by us are subject to state sales and use tax rather than exempt from applicable law. The states of New York and California have assessed us an aggregate of $5.2 million including penalties and interest. The audits cover the period from March 2014 through November 2022. We received notification that an administrative state judge in New York issued an opinion finding in favor of us that the sale of XTRAC treatment codes was not taxable as sales tax with respect to that state’s first assessment. This ruling covers $1.8 million of the total $5.2 million of assessments. The relevant taxing authority filed an appeal of the administrative law judge’s finding and, following the submission of legal briefs by both sides and oral argument held in January 2022, on May 6, 2022, we received a written decision from the State of New York Appeals Tribunal (“Tribunal”) overturning the favorable sales tax determination of the administrative law judge. We appealed the Tribunal’s decision to the New York State Appellate Division (“Appellate Division”), and posted the required appellate bond in the form of cash collateral. Oral argument was held by the Appellate Division on January 18, 2024.</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8, 2024, we received a decision from the Appellate Division ruling against us in the matter of our sales tax appeal, affirming the Tribunal's ruling that our sale of XTRAC treatment codes is subject to sales tax. The Appellate Division concluded that, through the usage arrangements, our customers had possession of the laser devices and had a license and ability to use the laser devices. The Appellate Division also agreed with the Tribunal that the primary function analysis was not applicable in this matter. On April 11, 2024, we filed a motion for leave to appeal the Appellate Division’s decision to the New York State Court of Appeals (“Court of Appeals”). On October 22, 2024, in an unsigned one-line decision, the Court of Appeals denied our motion to appeal the Appellate Division ruling. Therefore, the adverse decision stands and New York will execute on the appellate bond we posted for $1.3 million. As of December 31, 2024, we have accrued $1.8 million including penalties and interest as a result of the Appellate Division ruling. We are in the administrative process of appeal with respect to the remaining $1.3 million of assessments in the State of New York. We believe that the Appellate Division ruling provides an avenue for challenging the pending audit periods and subsequent periods, provided we can show that the value of the equipment provided to customers is either incidental to the overall value of the non-taxable services that are provided or should be treated similarly to pharmaceutical treatments, which are generally exempt from sales tax.</w:t>
      </w:r>
    </w:p>
    <w:p>
      <w:pPr>
        <w:spacing w:after="0" w:line="192" w:lineRule="exact"/>
        <w:rPr>
          <w:sz w:val="20"/>
          <w:szCs w:val="20"/>
          <w:color w:val="auto"/>
        </w:rPr>
      </w:pPr>
    </w:p>
    <w:p>
      <w:pPr>
        <w:jc w:val="both"/>
        <w:ind w:firstLine="646"/>
        <w:spacing w:after="0" w:line="254" w:lineRule="auto"/>
        <w:rPr>
          <w:sz w:val="20"/>
          <w:szCs w:val="20"/>
          <w:color w:val="auto"/>
        </w:rPr>
      </w:pPr>
      <w:r>
        <w:rPr>
          <w:rFonts w:ascii="Times New Roman" w:cs="Times New Roman" w:eastAsia="Times New Roman" w:hAnsi="Times New Roman"/>
          <w:sz w:val="18"/>
          <w:szCs w:val="18"/>
          <w:color w:val="auto"/>
        </w:rPr>
        <w:t>The State of California has made aggregate assessments of $2.1 million including penalties and interest. The audits cover the period from June 2018 through June 2022. We are in the administrative appeal process in this jurisdiction as well. In those states where we did not or may not prevail in the future with the defenses we have proposed and in the event there is a determination that the true object of the delivery of phototherapy under the recurring revenue model is a sale or lease of property and it is not a prescription medication, or we do not have other defenses where we prevail, we may be subject to state sales taxes in those particular states for previous years and in the future, plus interest and penalties for failure to pay such taxes. If it was determined that our recurring revenue model was not exempt from sales taxes in all states where we do business, and taxes and penalties were imposed in each of those states for the entire period through the expiration of each state’s statute of limitations, state sales and use tax, penalties and interest for such period would have a material negative impact on our financial condition and cash flow.</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As of December 31, 2024 and 2023, we have estimated our sales and use tax liability to be approximately $6.4 million and $4.3 million, respectively, which includes $1.8 million at December 31, 2024 that was accrued as a result of the Appellate Division ruling. We believe our sales and use tax accruals have properly recognized that if our arrangements with customers are deemed more likely than not that we would not be exempt from sales tax in a particular state are the basis for measurement of the state sales and use tax is calculated in accordance with ASC 405,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as a transaction tax. While we believe we have strong positions that our recurring revenue is exempt from sales tax, if it is found that we are subject to sales tax in those particular states where we believe it is more likely than not that we would be exempt from sales tax, then potential tax liabilities including interest and penalties would be higher than accrued amounts. The precise scope, timing and time period at issue, as well as the final outcome of any audit and actual settlements, remain uncertain.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respond to rapid changes in technology and other applications in the medical devices industry or the development of a cure for skin conditions treated by our products could make our treatment system obsolete.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medical device industry is subject to rapid and substantial technological development and product innovations. To be successful, we must respond to new developments in technology, new applications of existing technology and new treatment methods. Our financial condition and operating results could be adversely affected if we fail to be responsive on a timely and effective basis to competitors’ new devices, applications, treatments or price strategies. For example, the development of a cure for psoriasis, vitiligo, atopic dermatitis or leukoderma would eliminate the need for our XTRAC system for these diseases and would require us to focus on other uses of our technology, which could have a material adverse effect on our business and prospects.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develop new products or improve our existing products, we may accelerate the economic obsolescence of the existing, unimproved products and their components. The obsolete products and related components may have little to no resale value, leading to an increase in the reserves we have against our inventory. Likewise, there is a risk that the new products or improved existing products may not achieve market acceptance and therefore may also lead to an increase in the reserves against our inventory.</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or physicians and technicians, as the case may be, may misuse certain of our products, and product liability lawsuits and other damages imposed on us may exceed our insurance coverage, or we may be subject to claims that are not covered by insurance.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breach of warranty. Our products are highly complex, and some are used to treat delicate skin conditions on and near a patient’s face. In addition, the clinical testing, manufacturing, marketing and use of certain of our products and procedures may also expose us to product liability, FDA regulatory and/or legal actions, or other claims. If a physician elects to apply an off-label use and the use leads to injury, we may be involved in costly litigation. In addition, the fact that we train technicians whom we do not supervise in the use of our XTRAC system during patient treatment may expose us to third-party claims if we are accused of providing inadequate training. We may also be subject to claims against us even if the apparent injury is due to the actions of others or the pre-existing health of the patient. For example, we rely on physicians in connection with the use of our products on patients. If these physicians are not properly trained or are negligent, the capabilities and safety features of our products may be diminished or the patient may suffer critical injury. We may also be subject to claims that are caused by the actions of our suppliers, such as those who provide us with components and sub-assemblies.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presently maintain liability insurance with coverage limits of at least $5.0 million per occurrence and overall aggregate, which we believe is an adequate level of product liability insurance, but product liability insurance is expensive and we might not be able to obtain product liability insurance in the future on acceptable terms or in sufficient amounts to protect us, if at all. Our insurance policy contains various exclusions, and we may be subject to a product liability claim for which we have no coverage. A successful claim brought against us in excess of our insurance coverage could have a material adverse effect on our business, results of operations and financial condition. Even successful defense would require significant financial and management resources. In addition, continuing insurance coverage may also not be available at an acceptable cost, if at all. Therefore, we may not be able to obtain insurance coverage that will be adequate to satisfy a liability that may arise. Regardless of merit or eventual outcome, product liability claims may result in decreased demand for a product, harm to our reputation, withdrawal of clinical trial volunteers, initiation of investigations by regulators, costs to defend the related litigation, diversion of management’s time and our resources, monetary awards to trial participants or patients, product recalls, withdrawals or labeling, marketing or promotional restrictions, exhaustion of any available insurance and our capital resources, a resulting decline in the price of our common stock and loss of revenues. As a result, regardless of whether we are insured, a product liability claim or product recall may result in losses that could result in the FDA taking legal or regulatory enforcement action against us and/or our products including recall, and could have a material adverse effect upon our business, financial condition and results of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complex statutes prohibiting fraud and abuse, and both we and physicians utilizing our products could be subject to significant penalties for noncompliance.</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are extensive federal and state laws and regulations prohibiting fraud and abuse in the healthcare industry that can result in significant criminal and civil penalties. These federal laws include:</w:t>
      </w:r>
    </w:p>
    <w:p>
      <w:pPr>
        <w:spacing w:after="0" w:line="162"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anti-kickback statute which prohibits certain business practices and relationships, including the payment or receipt of remuneration for the referral of patients whose care will be paid by Medicare or other federal healthcare programs, as modified by the ACA;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self-referral prohibition, commonly referred to as the Stark Law;</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anti-inducement law, which prohibits providers from offering anything to a Medicare or Medicaid beneficiary to induce that beneficiary to use items or services covered by either program; the Civil False Claims Act, which prohibits any person from knowingly presenting or causing to be presented false or fraudulent claims for payment by the federal government, including the Medicare and Medicaid programs;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Law, which authorizes HHS to impose civil penalties administratively for fraudulent or abusive acts. Sanctions for violating these federal laws include criminal and civil penalties that range from punitive sanctions, damage assessments, monetary penalties, and imprisonment, denial of Medicare and Medicaid payments, or exclusion from the Medicare and Medicaid programs, or both.</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federal and state budget pressures continue, federal and state administrative agencies may also continue to escalate investigation and enforcement efforts to root out waste and to control fraud and abuse in governmental healthcare programs. Private enforcement of healthcare fraud has also increased, due in large part to amendments to the Civil False Claims Act in 1986 that were designed to encourage private persons to sue on behalf of the government. A violation of any of these federal and state fraud and abuse laws and regulations could have a material adverse effect on our liquidity and financial condition. An investigation into the use of our products by physicians may dissuade physicians from either purchasing or using our products and could have a material adverse effect on our revenues.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federal and state healthcare fraud and abuse laws and regulations and could face substantial penalties if we are unable to fully comply with such laws.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do not control referrals of healthcare services or bill directly to Medicare, Medicaid or other third-party payers, many healthcare laws and regulations apply to our business. For example, we could be subject to healthcare fraud and abuse and patient privacy regulation and enforcement by both the federal government and the states in which we conduct our business. The healthcare laws and regulations that may affect our ability to operate include:</w:t>
      </w:r>
    </w:p>
    <w:p>
      <w:pPr>
        <w:spacing w:after="0" w:line="180" w:lineRule="exact"/>
        <w:rPr>
          <w:sz w:val="20"/>
          <w:szCs w:val="20"/>
          <w:color w:val="auto"/>
        </w:rPr>
      </w:pPr>
    </w:p>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programs’ anti-kickback laws, as modified by the ACA, which prohibits, among other things, persons or entities from soliciting, receiving, offering or providing remuneration, directly or indirectly, in return for or to induce either the referral of an individual for, or the purchase order or recommendation of, any item or service for which payment may be made under a federal healthcare program such as the Medicare and Medicaid programs;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third-party payers that are false or fraudulent, or are for items or services not provided as claimed and which may apply to entities like us to the extent that our interactions with customers may affect their billing or coding practices;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established new federal crimes for knowingly and willfully executing a scheme to defraud any healthcare benefit program or making false statements in connection with the delivery of or payment for healthcare benefits, items or services, as well as leading to regulations imposing certain requirements relating to the privacy, security and transmission of individually identifiable health information;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 and state laws governing the privacy of health information in certain circumstances, many of which differ from each other in significant ways and often are not preempted by HIPAA, thus complicating compliance efforts.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medical device industry has been under heightened scrutiny as the subject of government investigations and regulatory or legal enforcement actions involving manufacturers who allegedly offered unlawful inducements to potential or existing customers in an attempt to procure their business, including arrangements with physician consultants. If our operations or arrangements are found to be in violation of any of the laws described above or any other governmental regulations that apply to us, we may be subject to penalties, including civil and criminal penalties, damages, fines, exclusion from the Medicare and Medicaid programs and the curtailment or restructuring of our operations. Any penalties, damages, fines, exclusions, curtailment or restructuring of our operations could adversely affect our ability to operate our business and our financial results. The risk of us being found in violation of these laws is increased by the fact that many of these laws are broad and their provisions are open to a variety of interpretations. Any action against us for violation of these laws, even if we successfully defend against that action and the underlying alleged violations, could cause us to incur significant legal expenses and divert our management’s attention from the operation of our business. If the physicians or other providers or entities with whom we do business are found to be non-compliant with applicable laws, they may be subject to sanctions, which could also have a negative impact on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effectiveness and safety of our devices are not supported by long-term data, and the level of acceptance of our products by dermatologists does not increase or is not maintained, our revenues could decline.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products may not be accepted in the market if we do not produce clinical data supported by the independent efforts of clinicians. We received clearance from the FDA for the use of the XTRAC system to treat psoriasis based upon our study of a limited number of patients. Safety and efficacy data presented to the FDA for the XTRAC system was based on studies on these patients. For the treatment of vitiligo, atopic dermatitis and leukoderma, we have received clearance from the FDA for the use of the XTRAC system based primarily on a showing of substantial equivalence to other previously cleared predicate devices. However, we may discover that physicians will expect clinical data on such treatments with the XTRAC system. We also may find that data from longer-term psoriasis patient follow-up studies may be inconsistent with those indicated by our relatively short-term data. If longer-term patient studies or clinical experience indicate that treatment with the XTRAC system does not provide patients with sustained benefits or that treatment with our product is less effective or less safe than our current data suggests, our revenues could decline. In addition, the FDA could then bring legal or regulatory enforcement actions against us and/or our products including, but not limited to, recalls or requirements for premarket 510(k) authorizations. We can give no assurance that our data will be substantiated in studies involving more patients. In such a case, we may never achieve significant revenues or profitability.</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or maintain necessary FDA clearances and approvals, or to maintain continued clearances, or equivalents thereof in the U.S. and relevant foreign markets, could hurt our ability to distribute and market our products.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both our U.S. and foreign markets, we are affected by extensive laws, governmental regulations, administrative determinations, court decisions and similar constraints. Such laws, regulations and other constraints may exist at the federal, state or local levels in the U.S. and at analogous levels of government in foreign jurisdictions. In addition, the formulation, manufacturing, packaging, labeling, distribution, importation, sale and storage of our products are subject to extensive regulation by various federal agencies, including, but not limited to, the FDA and the FTC, State Attorneys General in the U.S., as well as by various other federal, state, local and international regulatory authorities in the countries in which our products are manufactured, distributed or sold. If we or our manufacturers fail to comply with those regulations, we could become subject to significant penalties or claims, which could harm our results of operations or our ability to conduct our business. In addition, the adoption of new regulations or changes in the interpretations of existing regulations may result in significant compliance costs or discontinuation of product sales and may impair the marketing of our products, resulting in significant loss of net sales. Our failure to comply with federal or state regulations, or with regulations in foreign markets that cover our product claims and advertising, including direct claims and advertising by us, may result in enforcement actions and imposition of penalties or otherwise harm the distribution and sale of our products. Further, our businesses are subject to laws governing our accounting, tax and import and export activities. Failure to comply with these requirements could result in legal and/or financial consequences that might adversely affect our sales and profitability. Each medical device that we wish to market in the U.S. must first receive either 510(k) clearance or Pre Market Approval (“PMA”), which is a stricter regulatory standard than 510(k), from the FDA unless an exemption applies. Either process can be lengthy and expensive. The FDA’s 510(k) clearance process may take from three to 12 months, or longer, and may or may not require human clinical data. The PMA process is much more costly and lengthy. It may take from 11 months to three years, or even longer, and will likely require significant supporting human clinical data. Delays in obtaining regulatory clearance or approval could adversely affect our revenues and profitability. Although we have obtained 510(k) clearances for our XTRAC system for use in treating psoriasis, vitiligo, atopic dermatitis and leukoderma, these approvals and clearances may be subject to revocation if post-marketing data demonstrates safety issues or lack of effectiveness.</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medical device industry is now experiencing greater scrutiny and regulation by federal, state and foreign governmental authorities. Companies in our industry are subject to more frequent and more intensive reviews and investigations, often involving the marketing, business practices, and product quality management. Such reviews and investigations may result in civil and criminal proceedings; the imposition of substantial fines and penalties; the receipt of warning letters, untitled letters, demands for recalls or the seizure of our products; the requirement to enter into corporate integrity agreements, stipulated judgments or other administrative remedies, and result in our incurring substantial unanticipated costs and the diversion of key personnel and management’s attention from their regular duties, any of which may have an adverse effect on our financial condition, results of operations and liquidity, and may result in greater and continuing governmental scrutiny of our business in the future.</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federal, state and foreign governments and entities have enacted laws and issued regulations and other standards requiring increased visibility and transparency of our interactions with healthcare providers. For example, the U.S. Physician Payment Sunshine Act, now known as Open Payments, requires us to report to the Centers for Medicare &amp; Medicaid Services, or CMS, payments and other transfers of value to all U.S. physicians and U.S. teaching hospitals, with the reported information made publicly available on a searchable website. Effective January 2022 we are also required to collect and report information on payments or transfers of value to physician assistants, nurse practitioners, clinical nurse specialists, certified registered nurse anesthetists and certified nurse-midwives.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 and which could have a material adverse effect on our business, financial condition, and results of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International regulatory approval processes may take more or less time than the FDA clearance or approval process. If we fail to comply with applicable FDA and comparable non-U.S. regulatory requirements, we may not receive regulatory clearances or approvals or may be subject to FDA or comparable non-U.S. enforcement actions. We may be unable to obtain future regulatory clearance or approval in a timely manner, or at all, especially if existing regulations are changed or new regulations are adopted. For example, the FDA clearance or approval process can take longer than anticipated due to requests for additional clinical data and changes in regulatory requirements. A failure or delay in obtaining necessary regulatory clearances or approvals would materially adversely affect our business, financial condition, and results of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more stringent regulatory requirements or safety and quality standards may be issued in the future with an adverse effect on our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ceased manufacturing and marketing MelaFind but must still maintain records for FDA and foreign regulatory purposes.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required, clinical trials necessary to support a 510(k) notice or PMA application, for new or modified products, will be expensive and will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 510(k) notice or a PMA application will be time-consuming and expensive and the outcome uncertain. Moreover, the results of early clinical trials are not necessarily predictive of future results, and any product we advance into clinical trials may not have favorable results in early or later clinical trials.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 on many factors, including the size of the patient population, the nature of the trial protocol, the attractiveness of, or the discomforts and risks associated with, the treatments received by patients enrolled as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 Patients may also not participate in our clinical trials if they choose to participate in contemporaneous clinical trials of competitive products. In addition, patients participating in clinical trials may die before completion of the trial or suffer adverse medical events unrelated to investigational products.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may be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for any clinical trials. Delays in patient enrollment or failure of patients to continue to participate in a clinical trial may cause an increase in costs and delays in the approval and attempted commercialization of our products or result in the failure of the clinical trial. The FDA may not consider our data adequate to demonstrate safety and efficacy. Such increased costs and delays or failures could adversely affect our business, operating results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medical device operations are subject to FDA regulatory requirements.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Medical devices regulated by the FDA are subject to “general controls” which include: registration with the FDA; listing commercially distributed products with the FDA; complying with good manufacturing practices under the quality system regulations; filing reports with the FDA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can be marketed without prior marketing clearance or approval from the FDA. In addition to the “general controls,” some Class II medical devices are also subject to “special controls,” including adherence to a particular guidance document and compliance with the performance standard. Instead of obtaining 510(k) clearance, some Class III devices are subject to PMA. In general, obtaining PMA to achieve marketing authorization from the FDA is a more onerous process than seeking 510(k) clearance.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Many medical devices, such as medical lasers, are also regulated by the FDA as “electronic products.” In general, manufacturers and marketers of “electronic products” are subject to certain FDA regulatory requirements intended to ensure the radiological safety of the products. These requirements include, but are not limited to, filing certain reports with the FDA about the products and defects/safety issues related to the products as well as complying with radiological performance standards.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medical device industry is now experiencing greater scrutiny and regulation by federal, state and foreign governmental authorities. Companies in our industry are subject to more frequent and more intensive reviews and investigations, often involving the marketing, business practices, and product quality management including standards for device recalls and product labeling. Such reviews and investigations may result in civil and criminal proceedings; the imposition of substantial fines and penalties; the receipt of warning letters, untitled letters, demands for recalls or the seizure of our products; the requirement to enter into corporate integrity agreements, stipulated judgments or other administrative remedies, and result in our incurring substantial unanticipated costs and the diversion of key personnel and management’s attention from their regular duties, any of which may have an adverse effect on our financial condition, results of operations and liquidity, and may result in greater and continuing governmental scrutiny of our business in the future.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must also have the appropriate FDA clearances and/or approvals from other governmental entities in order to lawfully market devices and/or drugs. The FDA, federal, state or foreign governments and agencies may disagree that we have such clearance and/or approvals for all of our products and may take action to prevent the marketing and sale of such devices until such disagreements have been resolved.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federal, state and foreign governments and entities have enacted laws and issued regulations and other standards requiring increased visibility and transparency of our interactions with healthcare providers. For example, the U.S. Physician Payment Sunshine Act requires us to disclose payments and other transfers of value to all U.S. physicians and U.S. teaching hospitals at the U.S. federal level made. Failure to comply with these legal and regulatory requirements could impact our business, and we have had and will continue to spend substantial time and financial resources to develop and implement enhanced structures, policies, systems and processes to comply with these legal and regulatory requirements, which may also impact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policy changes may have a material adverse effect on 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Healthcare costs have risen significantly over the past decade. As a result, there have been and continue to be proposals by federal, state and foreign governments and regulators as well as third-party insurance providers to limit the growth of these costs. Among these proposals are regulations that could impose limitations on the prices we will be able to charge for our products, the amounts of reimbursement available for our products from governmental agencies or third-party payers, requirements regarding the usage of comparative studies, technology assessments and healthcare delivery structure reforms to determine the effectiveness and select the products and therapies used for treatment of patients. While we believe our products provide favorable clinical outcomes, value and cost efficiency, the resources necessary to demonstrate this value to our customers, patients, payers, and regulators is significant and may require longer periods of time and effort in which to obtain acceptance of our products. There is no assurance that our efforts will be successful, and these limitations could have a material adverse effect on our financial position and results of operations.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changes and additional proposed changes in the future could adversely affect the demand for our products as well as the way in which we conduct our business. For example, the ACA was enacted into law in the U.S. in March 2010. It imposed on medical device manufacturers, a requirement to research into the effectiveness of treatment modalities and institute changes to the reimbursement and payment systems for patient treatments. In addition, governments and regulatory agencies continue to study and propose changes to the laws governing the clearance or approval, manufacture and marketing of medical devices, which could adversely affect our business and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FDA regulations and guidance are often revised or reinterpreted by the FDA in ways that may significantly affect our business and our products. The FDA is currently exploring ways to modify its 510(k) clearance process. In addition, due to changes at the FDA in general, it has become increasingly more difficult to obtain 510(k) clearance as data requirements have increased. It is impossible to predict whether legislative changes will be enacted or FDA regulations, guidance or interpretations changed, and what the impact of such changes, if any, may be. However, any changes could make it more difficult for us to maintain or attain clearance or approval to develop and commercialize our products and technologies.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Various healthcare reform proposals have also emerged at the state level. We cannot predict what healthcare initiatives, if any, will be implemented at the federal or state level, or the effect any future legislation or regulation will have on us. Furthermore, an expansion in government’s role in the U.S. healthcare industry may lower reimbursements for our products, reduce medical procedure volumes and adversely affect our business, possibly materially. In addition, if the excise taxes contained in the House or Senate health reform bills are enacted into law, our loss from continuing operations resulting from such an excise tax and results of operations would be materially and adversely affected.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 acceptance in international markets requires regulatory approvals from foreign governments and may depend on third party reimbursement of participants’ cost.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introduced our XTRAC and VTRAC products into markets in more than 30 countries in Europe, the Middle East, Asia, Australia, South Africa and parts of Central and South America through distributors. We cannot be certain that our salesforce and distributor network will be successful in marketing our products in these or other countries or that our distributors will purchase XTRAC or VTRAC systems beyond their current contractual obligations or in accordance with our expectations. Our TheraClear device has historically been sold in several foreign countries and is subject to similar international regulatory approval requirements.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if we obtain and maintain the necessary foreign regulatory registrations or approvals, market acceptance of our products in international markets may be dependent, in part, upon the availability of reimbursement within applicable healthcare payment systems. Reimbursement and healthcare payment systems in international markets vary significantly by country, and include both government-sponsored healthcare and private insurance. We may seek international reimbursement approvals for our products, but we cannot assure you that any such approvals will be obtained in a timely manner, if at all. Failure to receive international reimbursement approvals in any given market could have a material adverse effect on the acceptance or growth of our products in that market or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more successfully than 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medical device industry is intensely competitive and subject to rapid and significant technological change.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competitors in medical device or pharmaceutical industries may also develop products that are more effective, more convenient, more widely used, less costly, or have a better safety profile than our products and these competitors may also be more successful than us in manufacturing and marketing their products.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our programs. Competition for these people in the medical device industry is intense and we may face challenges in retaining and recruiting such individuals if, for example, other companies may provide more generous compensation and benefits, more diverse opportunities, and better chances for career advancement than we do. Some of these advantages may be more appealing to high-quality candidates and employees than those we have to offer. In addition, the decline in our stock price has created additional challenges by reducing the retention value of our equity awards. Because of the complex and technical nature of our systems and the dynamic market in which we compete, any failure to attract and retain a sufficient number of qualified employees could materially harm our ability to develop and commercialize our technology, which would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medical device industry could have an adverse effect on our revenue and results of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medical device industry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bundle the sale of more products to our customers in return for lower prices. If we reduce our prices because of consolidation in the healthcare industry, our revenue would decrease and our earnings, financial condition, or cash flows would suffer, which would have a material adverse effect on our business, financial condition, and results of operations.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actively employ social media as part of our marketing strategy, which could give rise to regulatory violations, liability, breaches of data security or reputational damage.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Despite our efforts to monitor evolving social media communication guidelines and comply with applicable rules, there is risk that the use of social media by us, our employees or our customers to communicate about our products or business may cause us to be found in violation of applicable requirements, including requirements of regulatory bodies such as the FDA and FTC. For example, promotional communications and endorsements on social media that, among other things, promote our products for uses or in patient populations that are not described in the product’s approved labeling (known as “off-label uses”), do not contain a fair balance of information about risks associated with using our products, make comparative or other claims about our products that are not supported by sufficient evidence, and/or do not contain required disclosures could result in enforcement actions against us. In addition, adverse events, product complaints, off-label usage by physicians, unapproved marketing or other unintended messages posted on social media could require an active response from us, which may not be completed in a timely manner and could result in regulatory action by a governing body. Further, our employees may knowingly or inadvertently make use of social media in ways that may not comply with our corporate policies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which would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 companies on which we rely for advertising may change their policies limiting our ability to reach our target markets.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social media companies, such as Facebook and X (formerly Twitter), to reach our target markets. Facebook has announced that, beginning in January 2022, it will limit the ability of advertisers to target certain markets. Any restrictions by Facebook or any other social media platform on which we depend to reach our target market could have a significant impact on our ability to develop customer awareness and generate new users for our physician partners.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of infringement or misappropriation of the intellectual property rights of others, which could prohibit us from shipping affected products, require us to obtain licenses from third parties or to develop non-infringing alternatives, and subject us to substantial monetary damages and injunctive relief. Our patents may also be subject to challenge on validity grounds, and our patent applications may be rejected.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Third parties could, in the future, assert infringement or misappropriation claims against us with respect to our current or future products. Whether a product infringes a patent involves complex legal and factual issues, the determination of which is often uncertain. Therefore, we cannot be certain that we have not infringed the intellectual property rights of such third parties. Our potential competitors may assert that some aspect of our products infringes their patents. There also may be existing patents of which we are unaware that one or more components of our products may inadvertently infringe.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infringement or misappropriation claim could cause us to incur significant costs, could place significant strain on our financial resources, divert management’s attention from our business and harm our reputation. If the relevant patents were upheld as valid and enforceable and we were found to infringe, we could be prohibited from selling our product unless we could obtain licenses to use the technology covered by the patent or are able to design around the patent. We may be unable to obtain a license on terms acceptable to us, if at all, and we may not be able to redesign the affected product to avoid infringement.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court could order us to pay compensatory damages for such infringement, plus prejudgment interest and could, in addition, treble the compensatory damages and award attorney fees. These damages could be substantial and could harm our reputation, business, financial condition and operating results. A court also could enter orders that temporarily, preliminarily or permanently enjoin us and our customers from making, using, selling, offering to sell or importing our products, and/or could enter an order mandating that we undertake certain remedial activities. Depending on the nature of the relief ordered by the court, we could become liable for additional damages to third parties.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our patents, patent applications and other intellectual property rights to give us a competitive advantage. Whether a patent is valid, or whether a patent application should be granted, is a complex matter of science and law. Therefore, we cannot be certain that, if challenged, our patents, patent applications and/or other intellectual property rights would be upheld. If one or more of those patents, patent applications and other intellectual property rights are invalidated, rejected or found unenforceable, those outcomes could reduce or eliminate any competitive advantage we might otherwise have had.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manufacturers or suppliers fail to comply with the FDA’s Quality System Regulation or any applicable state equivalent, our manufacturing operations could be interrupted and our potential product sales and operating results could suffer.</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some of our third-party manufacturers and suppliers are required to comply with some or all of the FDA’s Good Manufacturing Practices or its QSR, which delineates the design controls, document controls, purchasing controls, identification and traceability, production and process controls, acceptance activities, nonconforming product requirements, corrective and preventive action requirements, labeling and packaging controls, handling, storage, distribution and installation requirements, records requirements, servicing requirements, and statistical techniques potentially applicable to the production of our medical devices. We and our manufacturers and suppliers are also subject to the regulations of foreign jurisdictions regarding the manufacturing process if we market our products overseas. The FDA enforces the QSR through periodic and announced or unannounced inspections of manufacturing facilities. Our facilities have been inspected by the FDA and other regulatory authorities, and we anticipate that we and certain of our third-party manufacturers and suppliers will be subject to additional future inspections. If our facilities or those of our manufacturers or suppliers are found to be in non-compliance or fail to take satisfactory corrective action in response to adverse QSR inspectional findings, the FDA could take legal or regulatory enforcement actions against us and/or our products, including but not limited to the cessation of sales or the recall of distributed products,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Current regulations depend heavily on administrative interpretation. If the FDA does not believe that we are in substantial compliance with applicable FDA regulations, the agency could take legal or regulatory enforcement actions against us and/or our products. We are also subject to periodic inspections by the FDA, other governmental regulatory agencies, as well as certain third-party regulatory groups. Future interpretations made by the FDA or other regulatory bodies made during the course of these inspections may vary from current interpretations and may adversely affect our business and prospects. The FDA’s and foreign regulatory agencies’ statutes, regulations, or policies may change, and additional government regulation or statutes may be enacted, which could increase post-approval regulatory requirements, or delay, suspend, prevent marketing of any cleared/approved products or necessitate the recall of distributed products. We cannot predict the likelihood, nature or extent of adverse governmental regulation that might arise from future legislative or administrative action, either in the U.S. or abroad.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medical device industry has been under heightened FDA scrutiny as the subject of government investigations and enforcement actions. If our operations and activities are found to be in violation of any FDA laws or any other governmental regulations that apply to us, we may be subject to penalties, including civil and criminal penalties, damages, fines and other legal and/or agency enforcement actions. Any penalties, damages, fines, or curtailment or restructuring of our operations or activities could adversely affect our ability to operate our business and our financial results. The risk of us being found in violation of FDA laws is increased by the fact that many of these laws are broad and their provisions are open to a variety of interpretations. Any action against us for violation of these laws, even if we successfully defend ourselves against that action and its underlying allegations, could cause us to incur significant legal expenses and divert management’s attention from the operation of our business. Where there is a dispute with a federal or state governmental agency that cannot be resolved to the mutual satisfaction of all relevant parties, we may determine that the costs, both real and contingent, are not justified by the commercial returns to us from maintaining the dispute or the product.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Various claims, design features or performance characteristics of our medical devices, that we regarded as permitted by the FDA without marketing clearance or approval, may be challenged by the FDA or state regulators. The FDA or state regulatory authorities may find that certain claims, design features or performance characteristics, in order to be made or included in the products, may have to be supported by further studies and marketing clearances or approvals, which could be lengthy, costly and possibly unobtainable.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ongoing regulatory requirements, or if we experience unanticipated problems with products, these products could be subject to restrictions or withdrawal from the market.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similar state requirements and licenses. Failure by us to comply with statutes and regulations administered by the FDA and other regulatory bodies, discovery of previously unknown problems with our products (including unanticipated adverse events or adverse events of unanticipated severity or frequency), manufacturing problems, or failure to comply with regulatory requirements, or failure to adequately respond to any FDA observations concerning these issues, could result in, among other things, any of the following actions:</w:t>
      </w:r>
    </w:p>
    <w:p>
      <w:pPr>
        <w:spacing w:after="0" w:line="18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 issued by the FDA;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civil penalties, injunctions and criminal prosecution;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clearing or approving, or refusal to clear or approve,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suspension of clearance or approval of our products by the FDA or other regulatory bodies;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for physician or customer notification or device repair, replacement or refund;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these actions were to occur, it would harm our reputation and adversely affect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medical products may in the future be subject to product recalls that could harm our reputation, business and financial results.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FDA has the authority to require the recall of commercialized medical device products in the event of material deficiencies or defects in design or manufacture. In the case of the FDA, the authority to require a recall must be based on an FDA finding that there is a reasonable probability that the device would cause serious injury or death. Manufacturers may, under their own initiative, recall a product if any material deficiency in a device is found. A government-mandated or voluntary recall by us or one of our distributors could occur as a result of component failures, manufacturing errors, design or labeling defects or other deficiencies and issues. Recalls of any of our products would divert managerial and financial resources and have an adverse effect on our financial condition and results of operations. The FDA requires that certain classifications of recalls be reported to the FDA within ten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sales. In addition, the FDA could take enforcement action for failing to report the recalls when they were conducted.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medical products cause or contribute to a death or a serious injury, or malfunction in certain ways, we will be subject to medical device reporting regulations, which can result in voluntary corrective actions or agency enforcement actions.</w:t>
      </w:r>
    </w:p>
    <w:p>
      <w:pPr>
        <w:spacing w:after="0" w:line="159" w:lineRule="exact"/>
        <w:rPr>
          <w:sz w:val="20"/>
          <w:szCs w:val="20"/>
          <w:color w:val="auto"/>
        </w:rPr>
      </w:pPr>
    </w:p>
    <w:p>
      <w:pPr>
        <w:jc w:val="both"/>
        <w:ind w:firstLine="646"/>
        <w:spacing w:after="0" w:line="255" w:lineRule="auto"/>
        <w:rPr>
          <w:sz w:val="20"/>
          <w:szCs w:val="20"/>
          <w:color w:val="auto"/>
        </w:rPr>
      </w:pPr>
      <w:r>
        <w:rPr>
          <w:rFonts w:ascii="Times New Roman" w:cs="Times New Roman" w:eastAsia="Times New Roman" w:hAnsi="Times New Roman"/>
          <w:sz w:val="18"/>
          <w:szCs w:val="18"/>
          <w:color w:val="auto"/>
        </w:rPr>
        <w:t>Under the FDA medical device reporting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one of our similar devices were to recur. If we fail to report these events to the FDA within the required timeframes, or at all, the FDA could take enforcement action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will require our time and capital, distract management from operating our business, and may harm our reputation and financial results.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a need for additional funds in the future and there is no guarantee that we will be able to generate those funds from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existing cash position and ability to borrow funds and future revenue may not be sufficient to support the expenses of our operations in the near term. We plan to fund operations by the recurring revenue generated by the use of the XTRAC lasers and the TheraClear Acne Therapy System in the U.S. and international markets, as well as domestic and international sales of our products. If revenues from the sale and use of our existing products are inadequate to fund our operations, we may need to raise additional financing. We cannot assure you that we will be able to raise additional capital or secure alternate financing to fund operations, if necessary, or that we will be able to raise additional capital under terms that are favorable to us. Further, we cannot assure that an acquisition will in any way negate or mitigate our need for future capital. Any additional financing may dilute the ownership interest of our existing stockholders and could adversely affect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have enough capital to fund operations, then we will have to cut costs or raise funds.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raise additional funds, if necessary, under terms acceptable to us and in the interests of our stockholders, then we will have to take measures to cut operating costs or obtain funds using alternative methods, such as:</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license some of our technologies that we would not otherwise sell or license if we were in a stronger financial position;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license some of our technologies under terms that are less favorable than they otherwise might have been if we were in a stronger financial position;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further business combination transactions with other companies or positioning ourselves to be acquired by another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it became necessary to take one or more of the above-listed actions, then our perceived valuation may be lower, which could impact the market price of our stock. Further, the effects on our operations, financial performance and stock price may be significant if we do not or cannot take one or more of the above-listed actions in a timely manner and when needed, and our ability to do so may be limited significantly due to the instability of the global financial markets and the resulting limitations on available financing to us and to potential licensees, buyers and investors. Additionally, these options may not be available to us as all of our assets have been pledged as security for the various financings.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disruptions or failures in our information technology systems and network infrastructures, including through cyber-attacks or other third-party breaches that could have a material adverse effect on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efficient and uninterrupted operation of complex information technology systems and network infrastructures to operate our business. We also hold data in various data center facilities upon which our business depends. A disruption, infiltration or failure of our information technology systems or any of our data centers as a result of software or hardware malfunctions, system implementations or upgrades, computer viruses,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w:t>
      </w:r>
    </w:p>
    <w:p>
      <w:pPr>
        <w:spacing w:after="0" w:line="183"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18"/>
          <w:szCs w:val="18"/>
          <w:color w:val="auto"/>
        </w:rPr>
        <w:t>While we have implemented a number of protective measures, including firewalls, antivirus, patches, data encryption, log monitors, routine back-ups with offsite retention of storage media, system audits, data partitioning, routine password modifications and disaster recovery procedures, such measures may not be adequate or implemented properly to prevent or fully address the adverse effect of such events. If our systems were to fail or we are unable to successfully expand the capacity of these systems, or we are unable to integrate new technologies into our existing systems, our operations and financial results could suffer.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also outsourced significant elements of our information technology infrastructure and as a result we depend on third parties who are responsible for maintaining significant elements of our information technology systems and infrastructure and who may or could have access to our confidential information. The size and complexity of our information technology systems, and those of our third-party vendors, make such systems potentially vulnerable to service interruptions and security breaches from inadvertent or intentional actions by our employees, partners or vendors. These systems are also vulnerable to attacks by malicious third parties, and may be susceptible to intentional or accidental physical damage to the infrastructure maintained by us or by third parties. A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Further, any such interruption, security breach, loss or disclosure of confidential information could result in financial, legal, business, and reputational harm to us and could have a material adverse effect on our business,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and health safety laws may result in liabilities, expenses and restrictions on our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Federal, state, local and foreign laws regarding environmental protection, hazardous substances and human health and safety may adversely affect our business.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Future changes to environmental and health and safety laws could cause us to incur additional expenses or restrict our operations, which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and uncertainty about economic stability. We cannot predict whether future United States or international laws or regulations may impose tariffs or other trade restrictions that may have a material adverse effect on our business. For example, in recent periods, the United States government has announced, and may continue to announce, various import tariffs on goods imported from certain trade partners, which have resulted, and may continue to result, in reciprocal tariffs on goods exported from the United States to such trade partners. An escalating global trade war, including between the United States and China, could harm our business and growth prospects. The global economy and financial markets may also be adversely affected by the current or anticipated impact of military conflict, including the ongoing conflict between Israel and Hamas, the ongoing war between Russia and Ukraine, terrorism or other geopolitical events. Sanctions imposed by the United States and other countries in response to such conflicts, including the sanctions relating to Russia, may also adversely impact the financial markets and the global economy, and the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weakened demand for our products and our ability to raise additional capital when needed on acceptable terms, if at all. A weak or declining economy could also strain our suppliers, possibly resulting in supply disruption. If the equity and credit markets deteriorate, it may make any necessary debt or equity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development plans. In addition, there is a risk that our current or future service providers, manufacturers or other collaborators may not survive such difficult economic times, which could directly affect our ability to attain our operating goals. We cannot anticipate all of the ways in which the current economic climate and financial market conditions could adversely impact our business.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shares of common stock could be delisted from the Nasdaq Capital Market which could result in, among other things, a decline in the price of our common stock and less liquidity for holders of shares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To maintain the listing of our common stock on the Nasdaq Capital Market, we are required to meet certain listing requirements, including, among others, (i) a minimum closing bid price of $1.00 per share (“Bid Price Requirement”), (ii) a market value of publicly held shares (excluding shares held by our executive officers, directors and 10% or more stockholders) of at least $1 million and (iii) either: (x) stockholders’ equity of at least $2.5 million; or (y) a total market value of listed securities of at least $35 million.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29, 2023, we received a notification from the Listing Department of Nasdaq indicating that during the preceding 30 consecutive business day period, the closing price of our common stock was below $1.00 per share. Effective June 6, 2024, we implemented a reverse stock split of all our outstanding common stock at a ratio of one-to-ten shares. On June 24, 2024, we regained compliance with the Bid Price Requirement.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market price per share of our common stock will remain in excess of the $1.00 minimum bid price for a sustained period of time. The continuing effect of a reverse stock split on the market price of our common stock cannot be predicted with any certainty, and the history of similar stock split combinations for companies in like circumstances is varied. It is possible that the per share price of our common stock after a reverse stock split will not rise in proportion to the reduction in the number of shares of common stock outstanding resulting from a reverse stock split, effectively reducing our market capitalization, and there can be no assurance that the market price per post-reverse split share will either exceed or remain in excess of the $1.00 minimum bid price for a sustained period of time. The market price of our common stock may vary based on other factors that are unrelated to the number of shares outstanding, including our future performance.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do not meet the minimum stockholders’ equity, minimum closing bid price requirements, or any other listing requirements, we would be subject to delisting from the Nasdaq Capital Market. The delisting of our common stock from a national exchange could impair the liquidity and market price of the common stock. It could also materially, adversely affect our access to the capital markets, and any limitation on market liquidity or reduction in the price of the common stock as a result of that delisting could adversely affect our ability to raise capital on terms acceptable to us,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will be further diluted in the future.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Your percentage ownership in our common stock will be diluted in the future because of equity awards that we expect will be granted to our directors, officers and employees. Our Equity Incentive Plan provides for the grant of equity-based awards, including restricted stock, restricted stock units, stock options, stock appreciation rights and other equity-based awards to our directors, officers and other employees, advisors and consultants. In connection with the Senior Term Facility, as amended, we issued a warrant to MidCap to purchase 80,000 shares of our common stock, with an exercise price of $8.80 per share. We also maintain a shelf-registration statement that provides us with the ability, from time to time, to offer and sell up to $25.0 million in securities, including selling up to an additional $8.9 million of our common stock in registered “at-the-market” offerings pursuant to an equity distribution agreement entered into with Ladenburg Thalmann &amp; Co. Inc. in October 2021. As a result of shares sold or issued under the circumstances described above, your percentage ownership in our common stock will be diluted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meaning purchasers of our common stock could incur substantial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medical technology companies in particular have experienced extreme volatility that has often been unrelated to the operating performance of particular companies. The following factors, in addition to other risk factors described in this section and general market and economic conditions, may have a significant impact on the market price of our common stock:</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products to achieve or continue to have commercial success;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 for our future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determinations with respect to our existing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research and development efforts and our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U.S. and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our products to commercial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clinical collaborators, suppliers or marketing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over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and litigation against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balance sheet and any perceived need to raise additional funds;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from expected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third-party reimbursement in the U.S. and other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practices;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decline in the market price of our common stock could cause you to lose some or all of your investment, limit your ability to sell your shares of stock and may adversely impact our ability to attract and retain employees and raise capital. In addition, stockholders have, and may in the future, initiate securities class action lawsuits if the market price of our stock drops significantly. Whether or not meritorious, litigation brought against us could result in substantial costs and could divert the time and attention of our management. Our insurance to cover claims of this sort may not be adequate.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may inhibit a takeover that stockholders consider favorable and could also limit the market price of our stock.</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Provisions of our restated certificate of incorporation and bylaws and applicable provisions of Delaware law may make it more difficult for or prevent a third party from acquiring control of us without the approval of our Board of Directors. These provisions: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at stockholder meetings;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permit cumulative voting in the election of our directors, which would otherwise permit less than a majority of stockholders to elect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thereby requiring all stockholder actions to be taken at a meeting of our stockholders; and</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of Directors the ability to designate the terms of and issue a new series of preferred stock without stockholder approval.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generally limits our ability to engage in any business combination with certain persons who own 15% or more of our outstanding voting stock or any of our associates or affiliates who at any time in the past three years have owned 15% or more of our outstanding voting stock. In connection with the financing in May 2018, our Board of Directors exempted AGP SPVI, L.P. from the application of this provision in connection with its investment.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spacing w:after="0" w:line="158" w:lineRule="exact"/>
        <w:rPr>
          <w:sz w:val="20"/>
          <w:szCs w:val="20"/>
          <w:color w:val="auto"/>
        </w:rPr>
      </w:pPr>
    </w:p>
    <w:p>
      <w:pPr>
        <w:ind w:right="100" w:firstLine="648"/>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a material weakness in our internal controls over financial reporting, specifically related to a lack of detailed management review of account reconciliations and account analyses, including those prepared by third party specialists, and the failure to achieve and maintain effective internal control over our financial reporting could harm our business and negatively impact the market price of our common stock.</w:t>
      </w:r>
    </w:p>
    <w:p>
      <w:pPr>
        <w:spacing w:after="0" w:line="15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for the year ended December 31, 2024, we identified a material weakness in our internal control over financial reporting related to a lack of detailed management review of account reconciliations and account analyses, including those prepared by third-party specialists. In order to remediate this material weakness, we plan to improve our processes and controls, including senior management review, to achieve accurate financial accounting, reporting and disclosures. Although management believes this remediation action offers the highest likelihood of preventing future misstatements, the planned steps do not eliminate the potential for human error. There could continue to be a possibility that this control deficiency or others could result in a material misstatement of our annual or interim financial statements. This could cause investors to lose confidence in the accuracy and completeness of our financial reports and the market price of our common stock could be negatively affected, and we could become subject to investigations by the SEC or other regulatory authorities.</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administers its cybersecurity risk oversight function directly through our Audit Committee (the “Committee”). The Committee has primary responsibility for overseeing our risk management practices, programs, policies, and procedures related to data privacy, data protection, and cybersecurity. The Committee reviews and evaluates the processes utilized by management to identify and assess the material internal and external risks that may affect our business. The Committee regularly discusses with management, legal counsel, and the internal audit department our major risk exposures. This includes potential financial impact on us and the steps taken to monitor and control those risks. Reviews with management are done annually, which includes a summary of legal and regulatory compliance matters and risk management activities, and a review of our cybersecurity program. Additionally, the Committee oversees the process by which our Board of Directors is informed regarding the risks facing us and coordinates with our legal counsel to ensure our Board of Directors receives regular risk assessment updates from management.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IT Manager has been designated as our Chief Information Security Officer ("CISO"), who is responsible for identifying, assessing and managing our risks from cybersecurity threats. The CISO has been with the Company for over five years and has many years of experience in technology. The CISO is supported by our outside IT consulting firm and its cybersecurity team that is staffed with personnel experienced in cyber security, security operations and incident management.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CISO reports to the Chief Accounting Officer (“CAO”), who provides the Committee with bi-annual updates about our cybersecurity program and material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Processes for identifying and assessing cybersecurity risks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CISO, with the support of the outside consultant’s cybersecurity team and the owners of information technology across the business, monitors current events and trends related to cybersecurity and assesses any potential impact on current systems and operations. There are several processes in place to monitor and review our systems, including third-party solutions, to identify potential risks. Third-party service providers are required to notify us in the event of a cybersecurity incident within their systems, and annual reviews are conducted on our critical third-party vendors. Cybersecurity risks, threats, and incidents, including those from third-party service providers, are tracked and regularly provided to the CISO.</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Processes for managing cybersecurity risks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cybersecurity team tracks risks and incidents related to cybersecurity until the risk is mitigated to an acceptable level or fully remediated. When risks are identified, the cybersecurity team oversees mitigation plans with the risk owner which are communicated to necessary teams and remediation steps are taken.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Processes for incorporating cybersecurity risks into the overall risk management process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process for identifying, assessing, and managing risks related to cybersecurity is incorporated into our IT processes. The Risk Management team meets at least annually with cybersecurity leadership to discuss cybersecurity related risks identified and the potential likelihood and severity of each risk. Through this process, cybersecurity risks are presented to the executive leadership team, including the Chief Executive Officer (“CEO”) and CAO, as well as reported to the Committee.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Currently, we are not aware of any risks from cybersecurity threats, or from previous cybersecurity incidents, that have materially affected or are reasonably likely to materially affect the Company.</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lease an 8,513 sq. ft. facility in Horsham, Pennsylvania that houses our executive offices and marketing. In August 2022, we exercised the lease renewal option and extended the term of the lease to expire in August 2026.</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lease a 17,000 sq. ft. facility consisting of office, manufacturing and warehousing space in Carlsbad, California. We terminated our existing lease that was set to expire in September 2024 and entered into a new lease in March 2024. The term of the lease commenced in April 2024 and expires in September 2029. Our Carlsbad facility houses the manufacturing and development operations for our excimer laser business, as well as the patient call center and reimbursement center.</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702"/>
        <w:spacing w:after="0" w:line="266" w:lineRule="auto"/>
        <w:rPr>
          <w:sz w:val="20"/>
          <w:szCs w:val="20"/>
          <w:color w:val="auto"/>
        </w:rPr>
      </w:pPr>
      <w:r>
        <w:rPr>
          <w:rFonts w:ascii="Times New Roman" w:cs="Times New Roman" w:eastAsia="Times New Roman" w:hAnsi="Times New Roman"/>
          <w:sz w:val="18"/>
          <w:szCs w:val="18"/>
          <w:color w:val="auto"/>
        </w:rPr>
        <w:t>From time to time in the ordinary course of our business, we may be a party to certain legal proceedings, incidental to the normal course of our business. These may include controversies relating to contract claims and employment related matters, some of which claims may be material, in which case, we will make separate disclosure as required.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subject to audits performed by state taxing authorities. These actions and proceedings are generally based on the position that the arrangements entered into by us are subject to sales and use tax rather than exempt from tax under applicable law. The states of New York and California have assessed us an aggregate of $5.2 million including penalties and interest. The audits cover the period from March 2014 through November 2022. We received notification that an administrative state judge in New York issued an opinion finding in favor of us that the sale of XTRAC treatment codes was not taxable as sales tax with respect to that state’s first assessment. This ruling covers $1.8 million of the total $5.2 million of assessments. The relevant taxing authority filed an appeal of the administrative law judge’s finding and, following the submission of legal briefs by both sides and oral argument held in January 2022, on May 6, 2022, we received a written decision from the State of New York Appeals Tribunal (“Tribunal”) overturning the favorable sales tax determination of the administrative law judge. We appealed the Tribunal’s decision to the New York State Appellate Division (“Appellate Division”), and posted the required appellate bond in the form of cash collateral. Oral argument was held by the Appellate Division on January 18, 2024.</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8, 2024, we received a decision from the Appellate Division ruling against us in the matter of our sales tax appeal, affirming the Tribunal's ruling that our sale of XTRAC treatment codes is subject to sales tax. The Appellate Division concluded that, through the usage arrangements, our customers had possession of the laser devices and had a license and ability to use the laser devices. The Appellate Division also agreed with the Tribunal that the primary function analysis was not applicable in this matter. On April 11, 2024, we filed a motion for leave to appeal the Appellate Division’s decision to the New York State Court of Appeals (“Court of Appeals”). On October 22, 2024, in an unsigned one-line decision, the Court of Appeals denied our motion to appeal the Appellate Division ruling. Therefore, the adverse decision stands and New York will execute on the appellate bond we posted for $1.3 million. As of December 31, 2024, we have accrued $1.8 million including penalties and interest as a result of the Appellate Division ruling. We are in the administrative process of appeal with respect to the remaining $1.3 million of assessments in the State of New York. We believe that the Appellate Division ruling provides an avenue for challenging the pending audit periods and subsequent periods, provided we can show that the value of the equipment provided to customers is either incidental to the overall value of the non-taxable services that are provided or should be treated similarly to pharmaceutical treatments, which are generally exempt from sales tax.</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 of California has made aggregate assessments of $2.1 million including penalties and interest. The audits cover the period from June 2018 through June 2022. We are in the administrative process of appeal in this jurisdiction as well.</w:t>
      </w:r>
    </w:p>
    <w:p>
      <w:pPr>
        <w:spacing w:after="0" w:line="162" w:lineRule="exact"/>
        <w:rPr>
          <w:sz w:val="20"/>
          <w:szCs w:val="20"/>
          <w:color w:val="auto"/>
        </w:rPr>
      </w:pPr>
    </w:p>
    <w:p>
      <w:pPr>
        <w:jc w:val="both"/>
        <w:ind w:firstLine="646"/>
        <w:spacing w:after="0" w:line="258" w:lineRule="auto"/>
        <w:rPr>
          <w:sz w:val="20"/>
          <w:szCs w:val="20"/>
          <w:color w:val="auto"/>
        </w:rPr>
      </w:pPr>
      <w:r>
        <w:rPr>
          <w:rFonts w:ascii="Times New Roman" w:cs="Times New Roman" w:eastAsia="Times New Roman" w:hAnsi="Times New Roman"/>
          <w:sz w:val="18"/>
          <w:szCs w:val="18"/>
          <w:color w:val="auto"/>
        </w:rPr>
        <w:t>In those states where we did not or may not prevail in the future with the defenses we have proposed and in the event there is a determination that the true object of our recurring revenue model is not exempt from sales taxes and is not a prescription medicine, or we do not have other defenses where we prevail, we may be subject to sales taxes in those particular states for previous years and in the future, plus potential interest and penalties. The precise scope, timing and time periods at issue, as well as the final outcomes of the investigations and judicial proceedings, remain uncertain. Accordingly, our estimate may change from time to time, and actual losses could vary.</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20, 2025, we had 4,171,161 shares of common stock issued and outstanding, which are listed on the Nasdaq Capital Markets under the symbol “SSKN.” This did not include (i) options to purchase 521,726 shares of common stock, of which 231,467 were vested as of March 20, 2025, (ii) unissued restricted stock units of 2,265, or (iii) 80,000 shares of common stock reserved for issuance pursuant to a warrant.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declared or paid any dividend on our common stock, since our inception. We do not anticipate that any dividends on our common stock will be declared or paid in the future. Any future determination relating to our dividend policy will be made at the discretion of our Board of Directors and will depend on then existing conditions, including our earnings, financial condition, results of operations, level of indebtedness, contractual restrictions, capital requirements, business prospects and other factors our Board of Directors may deem relevant. Our Board of Directors’ ability to declare a dividend is also subject to limits imposed by Delaware law and our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all of our equity compensation plans, including plans that were assumed through acquisitions and individual arrangements that provide for the issuance of equity securities as compensation, as of December 31, 2024. See Notes 1 and 12 to the consolidated financial statements for additional discussion.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5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60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18"/>
                <w:szCs w:val="18"/>
                <w:color w:val="auto"/>
              </w:rPr>
            </w:pPr>
          </w:p>
        </w:tc>
        <w:tc>
          <w:tcPr>
            <w:tcW w:w="15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16"/>
        </w:trPr>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45"/>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4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options ($)</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column(a)) (#)</w:t>
            </w:r>
          </w:p>
        </w:tc>
      </w:tr>
      <w:tr>
        <w:trPr>
          <w:trHeight w:val="216"/>
        </w:trPr>
        <w:tc>
          <w:tcPr>
            <w:tcW w:w="102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18"/>
                <w:szCs w:val="18"/>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521,726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7,270,212</w:t>
            </w:r>
          </w:p>
        </w:tc>
      </w:tr>
      <w:tr>
        <w:trPr>
          <w:trHeight w:val="223"/>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900" w:type="dxa"/>
            <w:vAlign w:val="bottom"/>
          </w:tcPr>
          <w:p>
            <w:pPr>
              <w:spacing w:after="0"/>
              <w:rPr>
                <w:sz w:val="19"/>
                <w:szCs w:val="19"/>
                <w:color w:val="auto"/>
              </w:rPr>
            </w:pP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4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521,726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7,270,212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consolidated financial condition and results of operations together with our consolidated financial statements and the related notes and other financial information included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as described under the heading “Cautionary Note Regarding Forward-Looking Statements” elsewhere in this Annual Report. You should review the disclosure under the heading “Risk Factors” in this Annual Report for a discussion of important factors that could cause actual results to differ materially from the results described in or implied by the forward-looking statements contained in the following discussion and analysis.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STRATA Skin Sciences, Inc. is a medical technology company in dermatology dedicated to developing, commercializing, and marketing innovative products for the treatment of dermatologic conditions. Its products include the XTRAC® and Pharos® excimer lasers and VTRAC® lamp systems utilized in the treatment of psoriasis, vitiligo, and various other skin conditions, as well as the TheraClear® X Acne Therapy System utilized in the treatment of acne-related skin conditions.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XTRAC ultraviolet light excimer laser system is utilized to treat psoriasis, vitiligo, and other skin diseases. The XTRAC excimer laser system received clearance from the United States Food and Drug Administration in 2000 and has since become a widely recognized treatment among dermatologists. The system delivers targeted 308nm ultraviolet light to affected areas of skin, leading to psoriasis clearing and vitiligo repigmentation, following a series of treatments. As of December 31, 2024, there were 864 XTRAC systems placed in dermatologists’ offices in the United States under our dermatology recurring procedures model, a decrease from 923 as of December 31, 2023. Under the dermatology recurring procedures model, the XTRAC system is placed in a physician’s office and fees are charged on a per procedure basis or a fee is charged on a periodic basis not to exceed an agreed upon number of procedures. The XTRAC system’s use for psoriasis is covered by nearly all major insurance companies, including Medicare. The VTRAC Excimer Lamp system, offered internationally in addition to the XTRAC, provides targeted therapeutic efficacy demonstrated by excimer technology with the simplicity of design and reliability of a lamp system. The Pharos excimer laser system holds FDA clearance to treat chronic skin diseases, including psoriasis, vitiligo, atopic dermatitis, and leukoderma. We believe there are approximately 8 million people in the United States and up to 125 million people worldwide suffering from psoriasis, and 1% to 2% of the world’s population suffers from vitiligo.</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TheraClear® X Acne Therapy System combines intense pulse light with vacuum (suction) for the treatment of mild to moderate inflammatory acne (including acne vulgaris), comedonal acne and pustular acne. The TheraClear device was cleared by the FDA through the 510(k) process. Currently, there is little insurance reimbursement coverage for acne treatments, such as those provided by TheraClear.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non-U.S. business focuses on a direct distribution model for equipment sales and recurring revenue, and we have distribution agreements in place in the Mid-East, Asia and Mexico.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Post-COVID-19 Pandemic</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late 2019, there was an outbreak of a new strain of coronavirus (“COVID-19”) which became a global pandemic. Since March 2020, the COVID-19 pandemic has negatively impacted business conditions in the industry in which we operate, disrupted global supply chains, constrained workforce participation, and created significant volatility and disruption of financial markets. The pandemic led to the suspension of elective procedures in the U.S. and to the temporary closure of many physician practices, which are our primary customers. While most physician offices have reopened, some of our partner physician practices closed permanently, and the impact of the COVID-19 pandemic and its variants on our operational and financial performance, including our ability to execute our business strategies and initiatives in the expected time frames is ongoing. We will continue to identify and plan around potential future pandemics and disruptions to our business.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Russia-Ukraine War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outbreak of the Russia-Ukraine War, Ukraine was the largest exporter of noble gases including neon, krypton, and xenon and has historically been the source of a significant amount of gas supplied to us by our contract suppliers. Neon gas is essential to the proper functioning of our lasers. Our suppliers have been resourceful in continuing to supply gases to us but cannot assure us that the supply will not remain uninterrupted. The reduced supply and ongoing conflict have also impacted the price of gas worldwide. Additionally, the Creating Helpful Incentives to Produce Semiconductors and Science Act of 2022 has led to a further tightening of rare gas supplies as semiconductor chip manufacturers reconfigure their supply chains to address the need to secure their own supplies of rare gases for use in the manufacture of computer chips.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Middle East Conflict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not seen an impact on our distributors’ businesses in the Middle East due to the Middle East conflict, but cannot predict the impact should the conflict continue or develop into a larger war.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Technologies</w:t>
      </w:r>
    </w:p>
    <w:p>
      <w:pPr>
        <w:spacing w:after="0" w:line="227" w:lineRule="exact"/>
        <w:rPr>
          <w:sz w:val="20"/>
          <w:szCs w:val="20"/>
          <w:color w:val="auto"/>
        </w:rPr>
      </w:pPr>
    </w:p>
    <w:p>
      <w:pPr>
        <w:jc w:val="both"/>
        <w:ind w:left="660" w:hanging="328"/>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XTRAC® Excimer Laser. </w:t>
      </w:r>
      <w:r>
        <w:rPr>
          <w:rFonts w:ascii="Times New Roman" w:cs="Times New Roman" w:eastAsia="Times New Roman" w:hAnsi="Times New Roman"/>
          <w:sz w:val="18"/>
          <w:szCs w:val="18"/>
          <w:color w:val="auto"/>
        </w:rPr>
        <w:t>XTRAC received FDA clearance in 2000 and has since become a widely recognized treatment among dermatologists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psoriasis and other skin diseases. The XTRAC System delivers ultra-narrowband ultraviolet B (“UVB”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light to affected areas of skin. Following a series of treatments typically performed twice weekly, psoriasis remission can be achieved, and vitiligo patches can be re-pigmented. XTRAC is endorsed by the National Psoriasis Foundation, and its use for psoriasis is covered by nearly all major insurance companies, including Medicare. We estimate that more than half of all major insurance companies now offer reimbursement for vitiligo as well.</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2018, we announced the FDA granted clearance for our Multi Micro Dose (“MMD”) tip for our XTRAC excimer laser. The MMD Tip accessory is indicated for use in conjunction with the XTRAC laser system to filter the Narrow Band UVB (“NB-UVB”) light at delivery in order to calculate and individualize the maximum non-blistering dose for a particular patient.</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we announced the FDA granted clearance of our XTRAC Momentum Excimer Laser Platform. In February 2022, we announced the commercial launch, with the first installation in the U.S. market, of our next generation excimer laser system, XTRAC Momentum® 1.0.</w:t>
      </w:r>
    </w:p>
    <w:p>
      <w:pPr>
        <w:spacing w:after="0" w:line="15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VTRAC® Lamp. </w:t>
      </w:r>
      <w:r>
        <w:rPr>
          <w:rFonts w:ascii="Times New Roman" w:cs="Times New Roman" w:eastAsia="Times New Roman" w:hAnsi="Times New Roman"/>
          <w:sz w:val="18"/>
          <w:szCs w:val="18"/>
          <w:color w:val="auto"/>
        </w:rPr>
        <w:t>VTRAC received FDA clearance in 2005 and provides targeted therapeutic efficacy demonstrated by excimer technology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simplicity of design and reliability of a lamp system.</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TheraClear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X Acne Treatment Device. </w:t>
      </w:r>
      <w:r>
        <w:rPr>
          <w:rFonts w:ascii="Times New Roman" w:cs="Times New Roman" w:eastAsia="Times New Roman" w:hAnsi="Times New Roman"/>
          <w:sz w:val="18"/>
          <w:szCs w:val="18"/>
          <w:color w:val="auto"/>
        </w:rPr>
        <w:t>The TheraClear® Acne Therapy System combines intense pulse light with vacuum (suction)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of mild to moderate inflammatory acne (including acne vulgaris), comedonal acne and pustular acne.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MidCap Financing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amended our credit facility with MidCap Financial Trust (“MidCap”) on February 20, 2024 to, among other things, revise the applicable minimum net revenue threshold financial covenant. On March 27, 2024, we further amended the agreement to clarify certain provisions related to the maintenance of cash collateral accounts. (For more information, see Note 9. </w:t>
      </w: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18"/>
          <w:szCs w:val="18"/>
          <w:color w:val="auto"/>
        </w:rPr>
        <w:t xml:space="preserve"> to the Notes to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26, 2023, the stockholders of the Company authorized our Board of Directors to effect a reverse stock split of all outstanding shares of common stock. On April 26, 2024, the Board of Directors approved the implementation of a reverse stock split at a ratio of one-for-ten shares, which became effective on June 6,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Distribution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2021, we entered into an equity distribution agreement under which we may sell up to $11.0 million of our shares of common stock in registered “at-the-market” offerings. The shares will be offered at prevailing market prices, and we will pay commissions of up to 3.0% of the gross proceeds from the sale of shares sold through our agent, which may act as an agent and/or principal. In July 2024, we sold 665,136 shares of our common stock under the equity distribution agreement at an average purchase price of $3.16 per share for total gross and net proceeds of $2.1 million and $1.9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12, 2024, Christopher Lesovitz, our Chief Financial Officer, submitted his resignation effective August 14, 2024. On November 13, 2024, we designated our Vice President Finance, John Gillings, as our principal financial officer and Chief Accounting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date, we have generated revenues primarily from the placement of our lasers in physicians’ offices and the related sales and rentals and the recurring revenues from our sale of treatment sessions.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Dermatology Recurring Procedures Segment: we have primarily two types of arrangements for our phototherapy treatment equipment as follows:</w:t>
      </w:r>
    </w:p>
    <w:p>
      <w:pPr>
        <w:spacing w:after="0" w:line="27" w:lineRule="exact"/>
        <w:rPr>
          <w:sz w:val="20"/>
          <w:szCs w:val="20"/>
          <w:color w:val="auto"/>
        </w:rPr>
      </w:pPr>
    </w:p>
    <w:p>
      <w:pPr>
        <w:jc w:val="both"/>
        <w:ind w:firstLine="8"/>
        <w:spacing w:after="0" w:line="255" w:lineRule="auto"/>
        <w:tabs>
          <w:tab w:leader="none" w:pos="2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place our lasers in a physician’s office at no charge to the physician, and generally charge the physician a fee for an agreed upon number of treatments; or (ii) we place our lasers in a physician’s office and charge the physician a fixed fee for a specified period of time not to exceed an agreed upon number of treatments; if that number is exceeded additional fees will be paid.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Dermatology Procedures Equipment Segment: we sell our products internationally through distributors and domestically, directly to a physician.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derive revenues from service and repair extended warranty contracts with our existing customers.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refer you to the section titled “—Critical Accounting Policies and Use of Estimates—Revenue Recognition” appearing elsewhere in this Annual Report for additional information regarding how we account for revenues.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in the United States represented 62% and 69% of our total revenues for the years ended December 31, 2024 and 2023, respectively, and have been generated by our direct sales force. Outside the United States, our sales are made through third-party distributors. International revenues were 38% and 31% for the years ended December 31, 2024 and 2023, respectively. We expect that both our United States and international revenues will increase in the near term as we continue to expand our product offerings and increase the related patient utilization in the United States, as well as grow our presence in Asia.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Margin</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Cost of revenues primarily consists of the costs of components and the manufacture of our XTRAC, VTRAC and TheraClear systems. Cost of revenues also includes costs related to personnel, depreciation, amortization, warranty, shipping, and our operations and field service departments.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gross profit is calculated by subtracting our cost of revenues from our revenues. We calculate our gross margin as our gross profit divided by our revenues. Our gross margin has been and will continue to be affected by a variety of factors, primarily product sales mix and pricing manufacturing costs. Our gross margins on revenues from sales of dermatology procedures equipment are lower than our gross margins on revenues from sales of dermatology recurring procedures and, as a result, the sales mix between dermatology recurring procedures and dermatology procedures equipment can affect the gross margin in any reporting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Engineering and product development expenses consist primarily of personnel expenses, including salaries and related benefits for employees in engineering, product development, regulatory and quality assurance functions. We typically use our employee, consultant and infrastructure resources across our engineering and product development programs.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plan to incur engineering and product development expenses for the near future as we expect to continue our development that focuses on the application of our XTRAC system for the treatment of inflammatory skin disorders. As a result, we expect our engineering and product development expenses to remain similar to our fiscal year 2024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Selling and marketing expenses consist of market research and commercial activities related to the sale of our dermatology recurring procedures and dermatology procedures equipment sales, and salaries and related benefits and sales commissions for employees focused on these efforts. Other significant sales and marketing costs include conferences and trade shows, promotional and marketing activities, including direct and online marketing to the consumer and dermatologists, practice support programs, travel and training expenses.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our selling and marketing expenses will increase compared to our fiscal year 2024 expenses as we continue our direct-to-patient advertising campaign aimed at motivating psoriasis and vitiligo patients to seek out XTRAC treatments from our physician partners.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and related benefits, share-based compensation and travel expenses, for employees in executive, finance, information technology, legal and human resource functions. General and administrative expenses also include the cost of insurance, outside legal fees, accounting and other consulting services, audit fees from our independent registered public accounting firm, Board of Directors’ fees and other administrative costs, such as corporate facility costs, including rent, utilities, depreciation and maintenance not otherwise included in cost of revenues.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compared to our fiscal year 2024 expenses as we continue to manage our expenses and seek cost reductions.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Impairment expense consists of an impairment charge related to goodwill resulting from the acquisition of the XTRAC and VTRAC businesses in 2015. We test goodwill for impairment during the fourth quarter of each year and whenever circumstances indicate the carrying value of goodwill may not be recoverable. Based on the assessments performed in the fourth quarters of 2024 and 2023 in conjunction with the annual budgeting process, we recorded impairment in both 2024 and 2023 for the amount by which the carrying value of the dermatology recurring procedures reporting unit exceeded its fair value. The impairments were primarily driven by a decline in projected cash flows, including revenues and profitability.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of cash interest payable under our debt facility and non-cash interest attributable to the amortization of deferred financing costs related to our indebtedness.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is earned on our cash and cash equivalents account balances.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Debt Extinguishment</w:t>
      </w:r>
    </w:p>
    <w:p>
      <w:pPr>
        <w:spacing w:after="0" w:line="223"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During the second quarter of 2023, we refinanced our Senior Term Facility with MidCap (see Note 9. </w:t>
      </w: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18"/>
          <w:szCs w:val="18"/>
          <w:color w:val="auto"/>
        </w:rPr>
        <w:t xml:space="preserve"> to the Notes to Consolidated Financial Statements). The new loan was considered substantially different from the original loan and, as such, we recorded a loss on debt extinguishment during the year ended December 31, 2023. There were no significant changes to our Senior Term Facility during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second quarter of 2024, we applied for the Employee Retention Credit (“ERC”) under the Coronavirus Aid, Relief, and Economic Security Act (“CARES Act”), which is a refundable tax credit that encouraged businesses to keep employees on the payroll during the COVID-19 pandemic. Eligible employers could qualify for up to $7.0 thousand of credit for each employee based on qualified wages paid after December 31, 2020 and before January 1, 2022. Qualified wages are any wages paid to an employee (for employers that averaged fewer than 100 full-time employees in 2019) or the wages paid to an employee for the time that the employee is providing and not providing services (for employers that averaged more than 500 full-time employees in 2019) due to an economic hardship, specifically, either (1) a full or partial suspension of operations by order of a governmental authority due to COVID-19, or (2) a significant decline in gross receipts. We recognized ERC funds received as other income during the year ended December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we had federal and state net operating loss (“NOL”) carryforwards of $203.5 million and $62.8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NOL carryforwards generated prior to 2018 began to expire for federal income tax purposes and begin expiring in 2030 for state income tax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and many state NOLs generated in 2018 and into the future now have an indefinite life.</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Internal Revenue Code of 1986, as amended, or the Code, a corporation that undergoes an "ownership change" is subject to limitations on its ability to utilize its NOLs to offset future taxable income. We have not completed a study to assess whether an ownership change has occurred in the past. Our existing NOLs may be subject to limitations arising from previous ownership changes, and if we undergo an ownership change, our ability to utilize NOLs could be further limited by Section 382 of the Code. Future changes in our stock ownership, some of which are outside of our control, could result in an ownership change under Section 382 of the Code. Our NOLs are also subject to international regulations, which could restrict our ability to utilize our NOLs. Furthermore, our ability to utilize NOLs of companies that we may acquire in the future may be subject to limitations. There is also a risk that due to regulatory changes, such as suspensions on the use of NOLs, or other unforeseen reasons, our existing NOLs could expire or otherwise be unavailable to offset future income tax liabilities.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385"/>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4"/>
                <w:szCs w:val="24"/>
                <w:color w:val="auto"/>
              </w:rPr>
            </w:pPr>
          </w:p>
        </w:tc>
        <w:tc>
          <w:tcPr>
            <w:tcW w:w="244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33,358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14,897</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w:t>
            </w:r>
          </w:p>
        </w:tc>
        <w:tc>
          <w:tcPr>
            <w:tcW w:w="20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9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12,956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4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(9,255)</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(8,604)</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(2,107)</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(1,640)</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102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10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57"/>
        </w:trPr>
        <w:tc>
          <w:tcPr>
            <w:tcW w:w="59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revenues by geography for the periods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1"/>
                <w:szCs w:val="21"/>
                <w:color w:val="auto"/>
              </w:rPr>
            </w:pPr>
          </w:p>
        </w:tc>
        <w:tc>
          <w:tcPr>
            <w:tcW w:w="244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23,028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56"/>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Product Type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revenues by segment for the periods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1"/>
                <w:szCs w:val="21"/>
                <w:color w:val="auto"/>
              </w:rPr>
            </w:pPr>
          </w:p>
        </w:tc>
        <w:tc>
          <w:tcPr>
            <w:tcW w:w="244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9"/>
                <w:szCs w:val="19"/>
                <w:color w:val="auto"/>
              </w:rPr>
            </w:pPr>
          </w:p>
        </w:tc>
      </w:tr>
      <w:tr>
        <w:trPr>
          <w:trHeight w:val="216"/>
        </w:trPr>
        <w:tc>
          <w:tcPr>
            <w:tcW w:w="4080" w:type="dxa"/>
            <w:vAlign w:val="bottom"/>
          </w:tcPr>
          <w:p>
            <w:pPr>
              <w:spacing w:after="0"/>
              <w:rPr>
                <w:sz w:val="18"/>
                <w:szCs w:val="18"/>
                <w:color w:val="auto"/>
              </w:rPr>
            </w:pPr>
          </w:p>
        </w:tc>
        <w:tc>
          <w:tcPr>
            <w:tcW w:w="202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Dermatology recurring procedures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21,530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Dermatology procedures equipment</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56"/>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18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564"/>
        </w:trPr>
        <w:tc>
          <w:tcPr>
            <w:tcW w:w="4080" w:type="dxa"/>
            <w:vAlign w:val="bottom"/>
          </w:tcPr>
          <w:p>
            <w:pPr>
              <w:spacing w:after="0"/>
              <w:rPr>
                <w:sz w:val="24"/>
                <w:szCs w:val="24"/>
                <w:color w:val="auto"/>
              </w:rPr>
            </w:pP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40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Dermatology Recurring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Recurring treatment revenues for the year ended December 31, 2024 were $21.2 million, which we estimate is approximately 253,000 XTRAC treatments with prices between $65 and $100 per treatment, compared to recurring treatment revenues for the year ended December 31, 2023 of $21.5 million, which we estimate is approximately 280,000 XTRAC treatments with prices between $65 and $95 per treatment. Subsequent to the launch of the TheraClear Acne Therapy System, there were 144 and 92 TheraClear devices placed in dermatologists’ offices in the United States under our recurring procedures model as of December 31, 2024 and 2023, respectively.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Increases in procedures are dependent upon building market acceptance through marketing programs with our physician partners and their patients to show that the XTRAC procedures will be of clinical benefit and will be generally reimbursed by insurers. We believe that several factors have an impact on the prescribed use of XTRAC treatments for psoriasis and vitiligo patients. Specifically, we believe that there is a lack of awareness of the positive effects of XTRAC treatments among both sufferers and providers; and the treatment regimen, which can sometimes require up to 12 or more treatments, has limited XTRAC use to certain patient populations. We reduced our direct-to-patient advertising over the course of 2023, which we believe contributed to a reduction in the number of XTRAC treatments compared to prior periods that continued into 2024. Therefore, our strategy going forward is to continue to increase our direct-to-patient program for XTRAC advertising in the United States, targeting psoriasis and vitiligo patients through a variety of media and through our use of social media such as Facebook and X (formerly Twitter), and aimed at motivating them to seek out XTRAC treatments from our physician partners . We monitor the results of our advertising expenditures in this area to reach the more than 10 million patients in the United States we believe are afflicted with these diseases.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dermatology recurring procedures are recognized as revenue over the estimated usage period of the agreed upon number of treatments, as the treatments are being used. As of both December 31, 2024 and 2023, we deferred domestic net revenues of $1.6 million, which will be recognized as revenue over the remaining usage period for the related placements.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Dermatology Procedures Equipment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dermatology procedures equipment revenues were $12.4 million. Internationally, we sold 98 systems (89 XTRAC and 9 VTRAC). Domestically, we sold 12 XTRAC systems for the year ended December 31, 2024.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dermatology procedures equipment revenues were $11.8 million. Internationally, we sold 68 systems (60 XTRAC and 8 VTRAC). Domestically, we sold 24 XTRAC systems for the year ended December 31, 2023.</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$0.6 million increase in dermatology procedures equipment revenues from the year ended December 31, 2023 to the year ended December 31, 2024 was primarily the result of a $1.6 million increase in international equipment sales, partially offset by a $0.2 million decrease in deferred service revenue associated with service contracts assumed in connection with the Pharos asset acquisition due to the expiration of those contracts during 2024 and a $0.6 million decrease in domestic equipment sales that was due to a temporary shift in strategy during 2023 whereby we offered physicians in the United States the option to purchase lasers rather than operate under the dermatology recurring procedures model.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changes in our gross profit, by segment, for the periods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Dermatology Recurring Procedures</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9"/>
        </w:trPr>
        <w:tc>
          <w:tcPr>
            <w:tcW w:w="4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4"/>
                <w:szCs w:val="24"/>
                <w:color w:val="auto"/>
              </w:rPr>
            </w:pPr>
          </w:p>
        </w:tc>
        <w:tc>
          <w:tcPr>
            <w:tcW w:w="244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220" w:type="dxa"/>
            <w:vAlign w:val="bottom"/>
          </w:tcPr>
          <w:p>
            <w:pPr>
              <w:spacing w:after="0"/>
              <w:rPr>
                <w:sz w:val="19"/>
                <w:szCs w:val="19"/>
                <w:color w:val="auto"/>
              </w:rPr>
            </w:pPr>
          </w:p>
        </w:tc>
      </w:tr>
      <w:tr>
        <w:trPr>
          <w:trHeight w:val="216"/>
        </w:trPr>
        <w:tc>
          <w:tcPr>
            <w:tcW w:w="410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21,171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21,530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8,729</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7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percentage</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52"/>
        </w:trPr>
        <w:tc>
          <w:tcPr>
            <w:tcW w:w="4100" w:type="dxa"/>
            <w:vAlign w:val="bottom"/>
          </w:tcPr>
          <w:p>
            <w:pPr>
              <w:spacing w:after="0"/>
              <w:rPr>
                <w:sz w:val="24"/>
                <w:szCs w:val="24"/>
                <w:color w:val="auto"/>
              </w:rPr>
            </w:pPr>
          </w:p>
        </w:tc>
        <w:tc>
          <w:tcPr>
            <w:tcW w:w="174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
        </w:trPr>
        <w:tc>
          <w:tcPr>
            <w:tcW w:w="4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increased to $13.3 million for the year ended December 31, 2024 from $12.8 million for the year ended December 31, 2023. As a percentage of revenues, gross profit was 62.7% for the year ended December 31, 2024, as compared to 59.5% for the year ended December 31, 2023. The increase in gross profit percentage from 2023 to 2024 was primarily the result of lower amortization costs due to the write-down of the product technology intangible asset for the TheraClear devices in the fourth quarter of 2023 in connection with the revaluation of the contingent consideration related to the TheraClear asset acquisition, partially offset by higher depreciation costs due to more XTRAC lasers and TheraClear devices placed into service.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Dermatology Procedures Equipment</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5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Pr>
          <w:p>
            <w:pPr>
              <w:spacing w:after="0"/>
              <w:rPr>
                <w:sz w:val="24"/>
                <w:szCs w:val="24"/>
                <w:color w:val="auto"/>
              </w:rPr>
            </w:pPr>
          </w:p>
        </w:tc>
        <w:tc>
          <w:tcPr>
            <w:tcW w:w="240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percentages)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9"/>
                <w:szCs w:val="19"/>
                <w:color w:val="auto"/>
              </w:rPr>
            </w:pPr>
          </w:p>
        </w:tc>
      </w:tr>
      <w:tr>
        <w:trPr>
          <w:trHeight w:val="216"/>
        </w:trPr>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12,391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11,828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6,168</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percentage</w:t>
            </w: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Gross profit increased to $5.8 million for the year ended December 31, 2024 from $5.7 million for the year ended December 31, 2023. As a percentage of revenues, gross profit was 46.8% for the year ended December 31, 2024, as compared to 47.9% for the year ended December 31, 2023. The decrease in gross profit percentage from 2023 to 2024 was primarily the result of a reduction in service billings related to Pharos laser system products and the write-off of inventories related to Pharos laser system products that will no longer be needed for warranty purposes due to the expiration of the related warranty service contracts, an increase in maintenance costs largely driven by TheraClear devices placed into service, and a discount on the sale of certain lasers to an international distributor, partially offset by a decrease in domestic sales with longer warranty periods, leading to a lower amount of deferred revenue for those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engineering and product development expenses were $0.9 million as compared to $1.3 million for the year ended December 31, 2023. Engineering and product development costs during the year ended December 31, 2024 were lower primarily as a result of a decrease in salaries and outside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our sales and marketing personnel consisted of 39 full-time positions, compared to 35 full-time positions as of December 31, 2023, inclusive of a vice president of sales and a vice president of marketing and business growth, direct sales organization as well as an in-house call center staffed with patient advocates and a reimbursement group that provides necessary insurance information to our physician partners and their patients.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sales and marketing expenses were $12.3 million as compared to $13.0 million for the year ended December 31, 2023. Sales and marketing expenses for the year ended December 31, 2024 were lower primarily as a result of decreases in (i) salaries and other employee related expenses due to a reduction in the number of executives in this department, (ii) external consulting fees, and (iii) other corporate marketing and communication expenses, partially offset by increases from our direct-to-patient advertising campaign aimed at motivating psoriasis and vitiligo patients to seek out XTRAC treatments from our physician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For the year ended December 31, 2024, general and administrative expenses increased to $11.3 million from $10.5 million for the year ended December 31, 2023. General and administrative expenses for the year ended December 31, 2024 were higher primarily as a result of an increase in our sales tax accrual (see Note 10. </w:t>
      </w:r>
      <w:r>
        <w:rPr>
          <w:rFonts w:ascii="Times New Roman" w:cs="Times New Roman" w:eastAsia="Times New Roman" w:hAnsi="Times New Roman"/>
          <w:sz w:val="18"/>
          <w:szCs w:val="18"/>
          <w:b w:val="1"/>
          <w:bCs w:val="1"/>
          <w:color w:val="auto"/>
        </w:rPr>
        <w:t>Commitments and Contingencies</w:t>
      </w:r>
      <w:r>
        <w:rPr>
          <w:rFonts w:ascii="Times New Roman" w:cs="Times New Roman" w:eastAsia="Times New Roman" w:hAnsi="Times New Roman"/>
          <w:sz w:val="18"/>
          <w:szCs w:val="18"/>
          <w:color w:val="auto"/>
        </w:rPr>
        <w:t xml:space="preserve"> to the Notes to Consolidated Financial Statements), the allowance for credit losses and certain employee related expenses, partially offset by lower stock-based compensation expense and lower accounting and legal expenses.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impairment expense was $3.9 million and $2.3 million, respectively. The impairment charges relate to goodwill associated with the dermatology recurring procedures segment and were primarily driven by a decline in projected cash flows, including revenues and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is primarily attributable to our debt obligations. For the year ended December 31, 2024, interest expense increased to $2.1 million from $1.6 million for the year ended December 31, 2023. The increase was primarily the result of the additional $7.0 million borrowed under our Senior Term Facility on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During the second quarter of 2023, we refinanced our Senior Term Facility with MidCap (see Note 9. </w:t>
      </w:r>
      <w:r>
        <w:rPr>
          <w:rFonts w:ascii="Times New Roman" w:cs="Times New Roman" w:eastAsia="Times New Roman" w:hAnsi="Times New Roman"/>
          <w:sz w:val="18"/>
          <w:szCs w:val="18"/>
          <w:b w:val="1"/>
          <w:bCs w:val="1"/>
          <w:color w:val="auto"/>
        </w:rPr>
        <w:t>Long-term Debt</w:t>
      </w:r>
      <w:r>
        <w:rPr>
          <w:rFonts w:ascii="Times New Roman" w:cs="Times New Roman" w:eastAsia="Times New Roman" w:hAnsi="Times New Roman"/>
          <w:sz w:val="18"/>
          <w:szCs w:val="18"/>
          <w:color w:val="auto"/>
        </w:rPr>
        <w:t xml:space="preserve"> to the Notes to Consolidated Financial Statements). The new loan was considered substantially different from the original loan and, as such, we recorded a loss on debt extinguishment of $0.9 million during the year ended December 31, 2023. During the first quarter of 2024, we amended the Senior Term Facility, which has been accounted for as a debt modification, as the new loan is not considered substantially different from the existing loan. There was no debt extinguishment during the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received $0.9 million from the Employee Retention Credit, a refundable tax credit available under the Coronavirus Aid, Relief, and Economic Securities Act (“CARES Act”) that was designed to keep employees on the payroll during the COVID-19 pandemic. There was no such credit received during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a benefit from income taxes of $0.2 million for the year ended December 31, 2024 as compared to a benefit from income taxes of $0.1 million for the year ended December 31, 2023, which is comprised primarily of changes in the deferred tax liability related to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determined to supplement our consolidated financial statements, prepared in accordance with accounting principles generally accepted in the United States of America (“U.S. GAAP”), presented elsewhere within this report, with certain non-GAAP measures of financial performance. These non-GAAP measures include non-GAAP adjusted EBITDA, “Earnings Before Interest, Taxes, Depreciation, and Amortization.”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non-GAAP disclosure has limitations as an analytical tool, should not be viewed as a substitute for Net Earnings (Loss) determined in accordance with U.S. GAAP, should not be considered in isolation or as a substitute for analysis of our results as reported under U.S. GAAP, nor is it necessarily comparable to non-GAAP performance measures that may be presented by other companies. We consider these non-GAAP measures in addition to our results prepared under current accounting standards, but they are not a substitute for, nor superior to, U.S. GAAP measures. These non-GAAP measures are provided to enhance readers’ overall understanding of our current financial performance and to provide further information for comparative purposes. This supplemental presentation should not be construed as an inference that the our future results will be unaffected by similar adjustments to Net Earnings (Loss) determined in accordance with U.S. GAAP. Specifically, we believe the non-GAAP measures provide useful information to management and investors by isolating certain expenses, gains and losses that may not be indicative of our core operating results and business outlook. In addition, we believe non-GAAP measures enhance the comparability of results against prior periods.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to the most directly comparable U.S. GAAP measure of all non-GAAP measures included in this Annual Report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(10,830)</w:t>
            </w: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(3,539)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2024, we had cash and cash equivalents and restricted cash of $8.6 million and an accumulated deficit of $248.1 million. Net cash provided by operations was $0.2 million during the year ended December 31, 2024 and net cash used in operations was $0.5 million during the year ended December 31, 2023. We have historically incurred operating losses, and we anticipate that our operating losses will continue in the near term as we seek to expand our sales and marketing initiatives to support our growth in existing and new markets, invest funds in additional engineering and product development activities and utilize cash for other corporate purposes. Our primary sources of capital have been from borrowings under our debt facilities and sales of our products. As of December 31, 2024, we had $15.0 million of borrowings outstanding under our credit facility with MidCap, which has a final maturity in June 2028.</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September 2021, we entered into a credit and security agreement with MidCap, also acting as the administrative agent, and the lenders identified therein and borrowed $8.0 million in the form of a senior term loan. The term loan bore interest at LIBOR (with a LIBOR floor rate of 0.50%) plus 7.50% per year. In September 2022, we amended the credit facility to transition, upon the cessation of LIBOR, to bear interest at one-month Secured Overnight Financing Rate (“SOFR”), or such other applicable period, plus 0.10%, with a floor of 0.50%. In June 2023, we amended the credit facility to:</w:t>
      </w:r>
    </w:p>
    <w:p>
      <w:pPr>
        <w:spacing w:after="0" w:line="3" w:lineRule="exact"/>
        <w:rPr>
          <w:sz w:val="20"/>
          <w:szCs w:val="20"/>
          <w:color w:val="auto"/>
        </w:rPr>
      </w:pPr>
    </w:p>
    <w:p>
      <w:pPr>
        <w:jc w:val="both"/>
        <w:ind w:firstLine="8"/>
        <w:spacing w:after="0" w:line="251" w:lineRule="auto"/>
        <w:tabs>
          <w:tab w:leader="none" w:pos="2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our existing $8.0 million term loan, (ii) borrow an additional $7.0 million, and (iii) provide for an additional $5.0 million tranche that could have been drawn under certain conditions in 2024. The facility matures on June 1, 2028. Borrowings under the credit facility bear interest at a rate per annum equal to the sum of (a) the greater of (i) the sum of (A) 30-day forward-looking term rate of one month SOFR, as published by CME Group Benchmark Administration Limited, from time to time, plus (B) 0.10%, and (ii) the applicable floor rate of 3.50%, with such sum reset monthly, and (b) 7.50%. We are obligated to make interest-only payments through June 2026. From July 2026 to maturity, we will make principal payments in 24 equal installments. We also amended and restated the existing warrant to allow MidCap to purchase 80,000 shares of our common stock at an exercise price of $8.80 per share for a 10-year period ending June 30, 2033. The loan is senior to all other indebtedness and is secured by substantially all of our assets. We are subject to customary affirmative and negative covenants including a financial covenant based on minimum net revenue thresholds. Upon an event of default, including a covenant violation, all principal and interest are due on demand.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February 2024, the parties amended the credit facility to, among other things, revise the applicable minimum net revenue threshold financial covenant. For the trailing 12-month period ended December 31, 2024, this amount was set at $30.0 million, increasing to $33.0 million as set forth in such amendment for the trailing 12-month periods thereafter. In March 2024, the credit facility was further amended (as amended to date, “Senior Term Facility”) to clarify certain provisions related to the maintenance of cash collateral accounts.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2022, we acquired certain assets related to the TheraClear devices from Theravant. Theravant is eligible to receive up to $3.0 million in future earnout payments upon the achievement of certain annual net revenue milestones ($1.0 million of which is due upon the earlier of achieving a revenue target or July 2025),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development and commercialization related targets. Through December 31, 2024, we have incurred an aggregate of $0.1 million of royalty and gross profit payments based on gross profit from domestic and international sales.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an equity distribution agreement with an investment bank under which we may sell up to $11.0 million of our shares of common stock in registered “at-the-market” offerings. The shares will be offered at prevailing market prices, and we will pay commissions of up to 3.00% of the gross proceeds from the sale of shares sold through our agent, which may act as an agent and/ or principal. We have no obligation to sell any shares under this agreement and may, at any time, suspend solicitations under this agreement. In July 2024, we sold 665,136 shares of our common stock for gross proceeds of approximately $2.1 million. As of December 31, 2024, we may sell up to an additional $8.9 million of our shares of common stock under this distribution agreement.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cannot predict our revenues and expenses in the short term as a result of the COVID-19 pandemic, the ongoing Russia-Ukraine war, the Middle East conflict, supply chain disruptions, rising interest rates, and related responses by our customers and our ultimate consumers as a result thereof. Based on our current business plan, we believe that our cash and cash equivalents, combined with the anticipated revenues from the sale or use of our products and operating expense management, will be sufficient to satisfy our working capital needs, capital asset purchases, outstanding commitments and other liquidity requirements associated with our existing operations for at least the next 12 months following the date of the issuance of this Annual Report. However, if these sources are insufficient to satisfy our liquidity requirements, we may seek to sell additional debt or equity securities or enter into a new credit facility or another form of third-party funding or seek other debt financing. If we raise additional funds by issuing equity or equity-linked securities, our stockholders would experience dilution and any new equity securities could have rights, preferences, and privileges superior to those of holders of our common stock. Debt financing, if available, may involve covenants restricting our operations or our ability to incur additional debt. We cannot be assured that additional equity, equity-linked or debt financing will be available on terms favorable to us or our stockholders, or at all. It is also possible that we may allocate significant amounts of capital towards products or technologies for which market demand is lower than expected and, as a result, abandon such efforts. If we are unable to maintain our current financing or obtain adequate additional financing when we require it, or if we obtain financing on terms which are not favorable to us, or if we expend capital on products or technologies that are unsuccessful, our ability to continue to support our business growth and to respond to business challenges could be significantly limited, or we may be required to delay the development, commercialization and marketing of our products.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8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6,861</w:t>
            </w:r>
          </w:p>
        </w:tc>
        <w:tc>
          <w:tcPr>
            <w:tcW w:w="0" w:type="dxa"/>
            <w:vAlign w:val="bottom"/>
          </w:tcPr>
          <w:p>
            <w:pPr>
              <w:spacing w:after="0"/>
              <w:rPr>
                <w:sz w:val="1"/>
                <w:szCs w:val="1"/>
                <w:color w:val="auto"/>
              </w:rPr>
            </w:pPr>
          </w:p>
        </w:tc>
      </w:tr>
      <w:tr>
        <w:trPr>
          <w:trHeight w:val="27"/>
        </w:trPr>
        <w:tc>
          <w:tcPr>
            <w:tcW w:w="484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840" w:type="dxa"/>
            <w:vAlign w:val="bottom"/>
            <w:vMerge w:val="restart"/>
          </w:tcPr>
          <w:p>
            <w:pPr>
              <w:jc w:val="right"/>
              <w:ind w:right="2896"/>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8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84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$0.2 million for the year ended December 31, 2024, compared to net cash used in operating activities of $0.5 million for the year ended December 31, 2023. The change in net cash provided by operating activities during the current period as compared to net cash used in operating activities in the prior period was primarily due to (i) a decrease in net loss of approximately $0.7 million and (ii) an increase in cash provided by changes in current balance sheet accounts in the ordinary course of business of approximately $0.8 million, primarily due to an increase of $2.5 million in accrued expenses primarily due to the adverse Appellate Division ruling with respect to the applicability of sales and use taxes to our sales of XTRAC treatment codes, partially offset by decreases of $0.8 million from accounts receivable due to increased sales to international customers who take longer to pay and $0.9 million from accounts payable due to timing, partially offset by (iii) a $0.8 million decrease in cash provided from non-cash adjustments.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$1.6 million for the year ended December 31, 2024, compared to net cash used in investing activities of $5.0 million for the year ended December 31, 2023. The decrease is primarily the result of a greater emphasis on refurbishing units that have been recalled from underperforming accounts as part of our stated plan to realign devices, which has a lower cost than building new units.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$1.9 million for the year ended December 31, 2024, compared to cash provided by financing activities of $6.9 million for the year ended December 31, 2023. The financing activity for the year ended December 31, 2024 primarily consisted of $1.9 million in net proceeds from the sale of common stock under the equity distribution agreement, whereas the cash provided by financing activities in 2023 was primarily due to the refinancing of the Senior Term Facility, pursuant to which we borrowed an additional $6.9 million, net of financing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2021, we entered into an $8.0 million credit and security agreement with MidCap. In June 2023, we amended our credit facility with MidCap to: (i) refinance our existing $8.0 million term loan, (ii) borrow an additional $7.0 million, and (iii) provide for an additional $5.0 million tranche that could have been drawn under certain conditions in 2024. The facility matures on June 1, 2028. Borrowings under the credit facility bear interest at a rate per annum equal to the sum of (a) the greater of (i) the sum of (A) 30-day forward-looking term rate of one month SOFR, as published by CME Group Benchmark Administration Limited, from time to time, plus (B) 0.10%, and (ii) the applicable floor rate of 3.50%, with such sum reset monthly, and (b) 7.50%. We are obligated to make interest-only payments through June 2026. From July 2026 to maturity, we will make principal payments in 24 equal installments. The loan is senior to all other indebtedness and is secured by substantially all of our assets. We are subject to customary affirmative and negative covenants including a financial covenant based on minimum net revenue thresholds. Upon an event of default, including a covenant violation, all principal and interest are due on demand. The credit facility was further amended in February 2024 to, among other things, revise the applicable minimum net revenue threshold financial covenant, and in March 2024 to clarify certain provisions related to the maintenance of cash collateral accounts.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lease our facilities and certain IT and office equipment under non-cancellable operating leases with remaining lease terms of up to five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lease obligations are $1.2 million as of December 31, 2024, with payments of $0.3 million due within the next year.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Theravant, the seller of the TheraClear devices, is eligible to receive up to $3.0 million in future earnout payments upon the achievement of certain annual net revenue milestones ($1.0 million of which is due upon the earlier of achieving a revenue target or July 2025),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commercialization related targets. We have notified Theravant that we believe the earnout payments are not due and will not be due in the future. Theravant has disputed our contention and the matter is under discussion among the signatories to the purchase agreement. Through December 31, 2024, we have incurred $0.1 million of royalty and gross profit payments based on gross profit from domestic and international sales. As of December 31, 2024, we have estimated the future earnout payments at $1.1 million, of which $1.0 million is expected to be paid within the next year unless an agreement between the parties is negotiated. Due to uncertainties associated with the development of a new product line and the use of estimates and assumptions to determine the fair value of the contingent consideration, the amount ultimately paid in connection with the earnout may differ from the estimated fair value.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January 2022, we entered into a Development Agreement (the “Development Agreement”) with Theravant. Under the Development Agreement, we will reimburse Theravant for costs incurred in further developing certain TheraClear technology and other healthcare products and methods for the medical aesthetic marketplace. In connection with the development of three devices, Theravant is eligible to receive $0.5 million upon FDA clearance for each device and $0.5 million upon achievement of certain net revenue targets for each device, aggregating to $3.0 million of potential future milestone payments under the Development Agreement. The Development Agreement had a three-year term, unless terminated sooner by either party and expired in January 2025. No milestone payments were incurred under the Development Agreement, nor do we anticipate that any such payments may be due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during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United States of America, or GAAP, and the rules and regulations of the SEC requires us to make estimates and assumptions, based on judgments considered reasonable, which affect the reported amounts of assets and liabilities and disclosure of contingent assets and liabilities at the date of the financial statements and the reported amounts of revenues and expenses during the reporting period. We base our estimates and assumptions on historical experience, known trends and events and various other factors that we believe to be reasonable under the circumstances, the results of which form the basis for making judgments about the carrying value of assets and liabilities that are not readily apparent from other sources. Although we believe our estimates and assumptions are reasonable when made, they are based upon information available to us at the time they are made. We evaluate our estimates and assumptions on an ongoing basis and, if necessary, make adjustments. Due to the risks and uncertainties involved in our business and evolving market conditions and given the subjective element of the estimates and assumptions made, actual results may differ from estimated results.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define our critical accounting policies as those accounting policies that are most important to the portrayal of our financial condition and results of operations and require our most difficult and subjective judgments. While our significant accounting policies are more fully described in “Note 2. </w:t>
      </w:r>
      <w:r>
        <w:rPr>
          <w:rFonts w:ascii="Times New Roman" w:cs="Times New Roman" w:eastAsia="Times New Roman" w:hAnsi="Times New Roman"/>
          <w:sz w:val="18"/>
          <w:szCs w:val="18"/>
          <w:b w:val="1"/>
          <w:bCs w:val="1"/>
          <w:color w:val="auto"/>
        </w:rPr>
        <w:t>Summary of Significant Accounting Policies</w:t>
      </w:r>
      <w:r>
        <w:rPr>
          <w:rFonts w:ascii="Times New Roman" w:cs="Times New Roman" w:eastAsia="Times New Roman" w:hAnsi="Times New Roman"/>
          <w:sz w:val="18"/>
          <w:szCs w:val="18"/>
          <w:color w:val="auto"/>
        </w:rPr>
        <w:t>” in our audited financial statements and related notes thereto appearing elsewhere in this Annual Report,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believe the following discussion addresses our most critical accounting policies.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primarily two types of arrangements for our phototherapy treatment equipment from which we earn revenues from dermatology recurring procedures: (i) we place our lasers in a physician’s office at no charge to the physician, and generally charge the physician a fee for an agreed upon number of treatments; or (ii) we place our lasers in a physician’s office and charge the physician a fixed fee for a specified period of time not to exceed an agreed upon number of treatments; if that number is exceeded additional fees will have to be paid. Revenues attributable to these types of arrangements are accounted for under the guidance applicable to leases. These arrangements are similar to operating leases since we provide the customers limited arrangement rights to use the treatment equipment, the treatment equipment resides in the physician’s office and we may exercise the right to remove the equipment upon notice, under certain circumstances, while the physician controls the utility and output of such equipment during the term of the arrangement as it pertains to the use of access codes to treat the patients. For the first type of arrangement, sales of access codes are considered variable treatment code payments and are recognized as revenue over the estimated usage period of the agreed upon number of treatments. For the second type of arrangement, customers purchase access codes and revenue is recognized on a straight-line basis as the lasers are being used over the term specified in the agreement. Variable treatment code payments that will be paid only if the customer exceeds the agreed upon number of treatments are recognized only when such treatments are being exceeded and used.</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revenue from dermatology procedures equipment sales when control of the promised good or service is transferred to our customers in an amount that reflects the consideration to which we expect to be entitled in exchange for those good or services. Accordingly, we determine revenue recognition by applying the following steps:</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revenues when, or as, we satisfy a performance obligation.</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contract’s transaction price is allocated to each performance obligation and recognized as revenue when, or as, the performance obligation is satisfied, which is generally the point in time when the product is shipped or control is transferred for our dermatology procedures equipment sales. We sell to physicians in the United States and to third-party distributors outside the United States and do not provide return rights. Sales to distributors outside the United States are made in U.S. dollars. In addition, we provide a one to two-year warranty for systems sold in the United States. Terms of the of the product warranty differ amongst our third-party distributors outside the United States but are generally two years. These assurance-type warranties are not considered a separate performance obligation. We provide for the estimated cost to repair or replace products under any warranty at the time of sale. We also earn revenue from customers from services outside of their warranty term or annual service contracts. Revenue from these service-type warranties is recognized as the services are provided.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purchase price for certain assets acquired related to TheraClear devices during January 2022 includes earnout payments, or contingent consideration. Estimates that involve a significant level of estimation uncertainty include the valuation of contingent consideration, which was determined using forecasted financial information available at the acquisition date, a discount rate, revenue volatility, a cost of equity and various other assumptions. Due to uncertainties associated with the development of a new product line and the use of estimates and assumptions to determine the fair value of the contingent consideration, the amount ultimately paid in connection with the earnout may differ from the estimated fair value at the acquisition date. A revaluation of the contingent consideration would only be required if there is a significant change to the underlying valuation assumptions. The contingent consideration will be adjusted when the contingency is resolved and the consideration is paid or becomes payable. Any difference between the cash payment and the amount accrued for contingent consideration will result in an adjustment to the product technology intangible asset.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2023, we revised our projections of expected revenues and gross profits to be earned from the sale of TheraClear devices. The change in projections was considered significant enough to warrant a revaluation of the contingent consideration. To calculate the fair value of the earnout at December 31, 2023, using Monte Carlo simulations, our projections were utilized to develop expected revenues and gross profits based on the risk inherent in the projections using the Geometric-Brownian motion for the earnout periods and related earnout payments. Significant assumptions used in the Geometric-Brownian motion analysis include projected revenues, projected gross profit, risk free rate of return of 3.8%, revenue volatility of 15.0%, and a cost of equity of 10.0%. The fair value of the contingent consideration as of December 31, 2023 was estimated to be $1.2 million, which resulted in a reduction in contingent consideration of $7.4 million with a corresponding adjustment to the carrying value of the product technology intangible asset. During 2024, there were no further significant changes to our projections of expected revenues and gross profits to be earned from the sale of TheraClear devices and, as such, we did not revalue the contingent consideration. The fair value of the contingent consideration as of December 31, 2024 was estimated to be $1.1 million, and reflects adjustments during the year for royalty and gross profit payments based on gross profit from domestic and international sales.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Impairments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2024, we had $2.7 million of goodwill related to the acquisitions of the XTRAC and VTRAC businesses in fiscal 2015. We evaluate the carrying value of goodwill during the fourth quarter of each year and whenever circumstances indicate the carrying value of goodwill may not be recoverable. The determination of the fair value of the reporting units to which the goodwill relates requires management to make estimates and assumptions. We organized our business into two operating segments, which also serve as our goodwill reporting units and are defined as Dermatology Recurring Procedures and Dermatology Procedures Equipment. Our analysis employed the use of both a market and income approach, with the market approach given a 25% weighting and the income approach given a 75% weighting. Significant assumptions used in the income approach include growth and discount rates, profit margins and our weighted average cost of capital. We used historical performance and management estimates of future performance to determine profit margins and growth rates. Discount rates selected for each reporting unit varied. Our weighted average cost of capital included a review and assessment of market and capital structure assumptions. Based on the assessments performed in the fourth quarters of 2024 and 2023 in conjunction with the budgeting process, we recorded impairment charges of $3.9 million and $2.3 million, respectively, related to goodwill, which was the amount of the excess of the carrying value of the Dermatology Recurring Procedures reporting unit over its fair value. The impairments were primarily driven by a decline in projected cash flows, including revenues and profitability. Changes in our actual results and/or estimates or any of our other assumptions used in our analysis could result in a different conclusion.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of our intangible assets are finite-lived assets, with amortization recorded over the estimated useful life on a straight-line basis. During the year ended December 31, 2023, we recorded a $7.4 million reduction to the carrying value of the product technology intangible asset as a result of the revaluation of contingent consideration related to the purchase of the TheraClear devices. There was no such revaluation of the contingent consideration during the year ended December 31, 2024. As of December 31, 2024, we had $5.3 million of intangible assets. The finite-lived assets are tested for impairment when events or changes in circumstances indicate that the carrying value of the asset group may not be recoverable. Our intangible assets are grouped into five categories: core technology, product technology, customer relationships, trade names and Pharos customer lists. Recoverability of assets to be held and used is measured by a comparison of the carrying amount of an asset group to the undiscounted cash flows attributable to the asset group. If the carrying amount of an asset group exceeds its undiscounted cash flows, an impairment charge is recognized in the amount by which the carrying amount of the asset group exceeds its fair value of the asset group.</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Considerable management judgment is necessary to assess recoverable amounts of intangible assets and measure fair value of the intangible assets that were impaired as such measurements involve estimation of future revenues, royalty rates, profit margins and other cash flows. Changes in our actual results and/or estimates or any of our other assumptions used in our analysis could result in a different conclusion.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Use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state sales tax collected and remitted for our customers on dermatology procedures equipment sales on a net basis, excluded from revenue. Our sales tax expense that is not presently being collected and remitted for the recurring revenue business is recorded in general and administrative expenses within the consolidated statements of operations.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believe our state sales and use tax accruals have been properly recognized such that, if our arrangements with customers are deemed more likely than not that we would not be exempt from sales tax in a particular state, the basis for measurement of the state sales and use tax is calculated in accordance with ASC 405,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as a transaction tax. If and when we are successful in defending ourselves or in settling the sales tax obligation for a lesser amount, the reversal of this liability is to be recorded in the period the settlement is reached. However, the precise scope, timing and time period at issue, as well as the final outcome of any audit and actual settlement, remains uncertain.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subject to audits performed by state taxing authorities. These actions and proceedings are generally based on the position that the arrangements entered into by us are subject to sales and use tax rather than exempt from tax under applicable law. The states of New York and California have assessed us an aggregate of $5.2 million including penalties and interest. The audits cover the period from March 2014 through November 2022. We received notification that an administrative state judge in New York issued an opinion finding in favor of us that the sale of XTRAC treatment codes was not taxable as sales tax with respect to that state’s first assessment. This ruling covers $1.8 million of the total $5.2 million of assessments. The relevant taxing authority filed an appeal of the administrative law judge’s finding and, following the submission of legal briefs by both sides and oral argument held in January 2022, on May 6, 2022, we received a written decision from the State of New York Appeals Tribunal (“Tribunal”) overturning the favorable sales tax determination of the administrative law judge. We appealed the Tribunal’s decision to the New York State Appellate Division (“Appellate Division”), and posted the required appellate bond in the form of cash collateral. Oral argument was held by the Appellate Division on January 18, 2024.</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8, 2024, we received a decision from the Appellate Division ruling against us in the matter of our sales tax appeal, affirming the Tribunal's ruling that our sale of XTRAC treatment codes is subject to sales tax. The Appellate Division concluded that, through the usage arrangements, our customers had possession of the laser devices and had a license and ability to use the laser devices. The Appellate Division also agreed with the Tribunal that the primary function analysis was not applicable in this matter. On April 11, 2024, we filed a motion for leave to appeal the Appellate Division’s decision to the New York State Court of Appeals (“Court of Appeals”). On October 22, 2024, in an unsigned one-line decision, the Court of Appeals denied our motion to appeal the Appellate Division ruling. Therefore, the adverse decision stands and New York will execute on the appellate bond we posted for $1.3 million. As of December 31, 2024, we have accrued $1.8 million including penalties and interest as a result of the Appellate Division ruling. We are in the administrative process of appeal with respect to the remaining $1.3 million of assessments in the State of New York. We believe that the Appellate Division ruling provides an avenue for challenging the pending audit periods and subsequent periods, provided we can show that the value of the equipment provided to customers is either incidental to the overall value of the non-taxable services that are provided or should be treated similarly to pharmaceutical treatments, which are generally exempt from sales tax.</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 of California has made aggregate assessments of $2.1 million including penalties and interest. The audits cover the period from June 2018 through June 2022. We are in the administrative process of appeal in this jurisdiction as well.</w:t>
      </w:r>
    </w:p>
    <w:p>
      <w:pPr>
        <w:spacing w:after="0" w:line="162" w:lineRule="exact"/>
        <w:rPr>
          <w:sz w:val="20"/>
          <w:szCs w:val="20"/>
          <w:color w:val="auto"/>
        </w:rPr>
      </w:pPr>
    </w:p>
    <w:p>
      <w:pPr>
        <w:jc w:val="both"/>
        <w:ind w:firstLine="646"/>
        <w:spacing w:after="0" w:line="266" w:lineRule="auto"/>
        <w:rPr>
          <w:sz w:val="20"/>
          <w:szCs w:val="20"/>
          <w:color w:val="auto"/>
        </w:rPr>
      </w:pPr>
      <w:r>
        <w:rPr>
          <w:rFonts w:ascii="Times New Roman" w:cs="Times New Roman" w:eastAsia="Times New Roman" w:hAnsi="Times New Roman"/>
          <w:sz w:val="18"/>
          <w:szCs w:val="18"/>
          <w:color w:val="auto"/>
        </w:rPr>
        <w:t>In those states where we did not or may not prevail in the future with the defenses we have proposed and in the event there is a determination that the true object of our recurring revenue model is not exempt from sales taxes and is not a prescription medicine, or we do not have other defenses where we prevail, we may be subject to sales taxes in those particular states for previous years and in the future, plus potential interest and penalties.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audited financial statements appearing elsewhere in this Annual Report.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required by this Item 8 are included in this Annual Report and begin on page F-1.</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Internal Control System</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in a cost-effective control system, no evaluation of internal control over financial reporting can provide absolute assurance that misstatements due to error or fraud will not occur or that all control issues and instances of fraud, if any, within our company have been detected. Therefore, even those systems determined to be effective can provide only reasonable assurance with respect to financial statement preparation and presentation. Management does not expect that our disclosure controls and procedures or our internal control over financial reporting will prevent or detect all errors and all fraud.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Accounting Officer, has evaluated the effectiveness of the design and operation of our disclosure controls and procedures, (as such term is defined in Rules 13a-15(e) and 15d-15(e) under the Securities Exchange Act of 1934 (the “Exchange Act”), as of December 31, 2024. Based on that evaluation, management has concluded that, as of such date, our disclosure controls and procedures were not effective at the reasonable assurance level because of a material weakness in our internal control over financial reporting that had not yet been remediated.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Accounting Officer, as appropriate, to allow timely decisions regarding required disclosure.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framework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Based on this assessment, our management has determined that our internal control over financial reporting was not effective as of December 31, 2024.</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our internal control over financial reporting. We are not required to have, nor have we engaged our independent registered public accounting firm to perform, an audit on our internal control over financial reporting pursuant to the rules of the SEC that permit us to provide only management’s report in this Annual Report.</w:t>
      </w:r>
    </w:p>
    <w:p>
      <w:pPr>
        <w:spacing w:after="0" w:line="176"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A material weakness is a control deficiency, or a combination of control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ind w:firstLine="583"/>
        <w:spacing w:after="0" w:line="282" w:lineRule="auto"/>
        <w:rPr>
          <w:sz w:val="20"/>
          <w:szCs w:val="20"/>
          <w:color w:val="auto"/>
        </w:rPr>
      </w:pPr>
      <w:r>
        <w:rPr>
          <w:rFonts w:ascii="Times New Roman" w:cs="Times New Roman" w:eastAsia="Times New Roman" w:hAnsi="Times New Roman"/>
          <w:sz w:val="18"/>
          <w:szCs w:val="18"/>
          <w:color w:val="auto"/>
        </w:rPr>
        <w:t>Management identified a material weakness in our internal controls over financial reporting related to a lack of detailed management review of account reconciliations and account analyses, including those prepared by third-party specialists.</w:t>
      </w:r>
    </w:p>
    <w:p>
      <w:pPr>
        <w:spacing w:after="0" w:line="162" w:lineRule="exact"/>
        <w:rPr>
          <w:sz w:val="20"/>
          <w:szCs w:val="20"/>
          <w:color w:val="auto"/>
        </w:rPr>
      </w:pPr>
    </w:p>
    <w:p>
      <w:pPr>
        <w:ind w:right="460" w:firstLine="583"/>
        <w:spacing w:after="0" w:line="282" w:lineRule="auto"/>
        <w:rPr>
          <w:sz w:val="20"/>
          <w:szCs w:val="20"/>
          <w:color w:val="auto"/>
        </w:rPr>
      </w:pPr>
      <w:r>
        <w:rPr>
          <w:rFonts w:ascii="Times New Roman" w:cs="Times New Roman" w:eastAsia="Times New Roman" w:hAnsi="Times New Roman"/>
          <w:sz w:val="18"/>
          <w:szCs w:val="18"/>
          <w:color w:val="auto"/>
        </w:rPr>
        <w:t>In order to remediate this material weakness, we plan to improve our processes and controls, including senior management review, to achieve accurate financial accounting, reporting and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Other than the material weakness discussed above, there has been no change in our internal control over financial reporting in our most recent fiscal quarter that has materially affected, or is reasonably likely to materially affect, our internal control over financial reporting.</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directors or officers of the Company adopted or terminated a "Rule 10b5-1 trading arrangement" or a "non-Rule 10b5-1 trading arrangement," as each term is defined in Item 408 of Regulation S-K.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2025 Annual Meeting of Stockholders to be filed with the Securities and Exchange Commission within 120 days of the fiscal year ended December 31, 2024.</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2025 Annual Meeting of Stockholders to be filed with the Securities and Exchange Commission within 120 days of the fiscal year ended December 31, 2024.</w:t>
      </w:r>
    </w:p>
    <w:p>
      <w:pPr>
        <w:spacing w:after="0" w:line="158"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2025 Annual Meeting of Stockholders to be filed with the Securities and Exchange Commission within 120 days of the fiscal year ended December 31, 2024.</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2025 Annual Meeting of Stockholders to be filed with the Securities and Exchange Commission within 120 days of the fiscal year ended December 31, 2024.</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for the 2025 Annual Meeting of Stockholders to be filed with the Securities and Exchange Commission within 120 days of the fiscal year ended December 31, 2024.</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Consolidated balance sheets of STRATA Skin Sciences, Inc. and subsidiary as of December 31, 2024 and 2023, and the related consolidated statements of operations, changes in stockholders’ equity and cash flows for each of the years ended December 31, 2024 and 2023.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as all information required in these schedules is included in the Notes to the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(a)(3)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exhibits listed under subsection (b) of this Item 15 are hereby incorporated by reference.</w:t>
      </w:r>
    </w:p>
    <w:p>
      <w:pPr>
        <w:spacing w:after="0" w:line="225" w:lineRule="exact"/>
        <w:rPr>
          <w:sz w:val="20"/>
          <w:szCs w:val="20"/>
          <w:color w:val="auto"/>
        </w:rPr>
      </w:pPr>
    </w:p>
    <w:p>
      <w:pPr>
        <w:ind w:left="760" w:right="20" w:hanging="426"/>
        <w:spacing w:after="0" w:line="261"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66">
        <w:r>
          <w:rPr>
            <w:rFonts w:ascii="Times New Roman" w:cs="Times New Roman" w:eastAsia="Times New Roman" w:hAnsi="Times New Roman"/>
            <w:sz w:val="18"/>
            <w:szCs w:val="18"/>
            <w:u w:val="single" w:color="auto"/>
            <w:color w:val="0000EE"/>
          </w:rPr>
          <w:t>Fifth Amended and Restated Certificate of Incorporation of the Company (Incorporated by reference to Exhibit 3.1 contained in our Registration</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Statement on Form S-3 (File No. 333-258814), as filed on August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hanging="42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68">
        <w:r>
          <w:rPr>
            <w:rFonts w:ascii="Times New Roman" w:cs="Times New Roman" w:eastAsia="Times New Roman" w:hAnsi="Times New Roman"/>
            <w:sz w:val="18"/>
            <w:szCs w:val="18"/>
            <w:u w:val="single" w:color="auto"/>
            <w:color w:val="0000EE"/>
          </w:rPr>
          <w:t>Certificate of Amendment to Fifth Amended and Restated Certificate of Incorporation, as filed June 3, 2024 (incorporated herein by reference to</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Exhibit 3.1 contained in our Current Report on Form 8-K, as filed on June 4,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hanging="42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70">
        <w:r>
          <w:rPr>
            <w:rFonts w:ascii="Times New Roman" w:cs="Times New Roman" w:eastAsia="Times New Roman" w:hAnsi="Times New Roman"/>
            <w:sz w:val="18"/>
            <w:szCs w:val="18"/>
            <w:u w:val="single" w:color="auto"/>
            <w:color w:val="0000EE"/>
          </w:rPr>
          <w:t>Fourth Amended and Restated Bylaws of the Company (Incorporated by reference to Exhibit 3.2 contained in our Form 8-K current report as</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filed on January 8, 2016).</w:t>
        </w:r>
      </w:hyperlink>
    </w:p>
    <w:p>
      <w:pPr>
        <w:spacing w:after="0" w:line="1" w:lineRule="exact"/>
        <w:rPr>
          <w:sz w:val="20"/>
          <w:szCs w:val="20"/>
          <w:color w:val="auto"/>
        </w:rPr>
      </w:pPr>
    </w:p>
    <w:p>
      <w:pPr>
        <w:ind w:left="760" w:hanging="42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71">
        <w:r>
          <w:rPr>
            <w:rFonts w:ascii="Times New Roman" w:cs="Times New Roman" w:eastAsia="Times New Roman" w:hAnsi="Times New Roman"/>
            <w:sz w:val="18"/>
            <w:szCs w:val="18"/>
            <w:u w:val="single" w:color="auto"/>
            <w:color w:val="0000EE"/>
          </w:rPr>
          <w:t>Specimen Stock Certificate Incorporated by reference to our Registration Statement on Form S-1, as amended (File No. 333-125517), as filed on</w:t>
        </w:r>
      </w:hyperlink>
      <w:r>
        <w:rPr>
          <w:rFonts w:ascii="Times New Roman" w:cs="Times New Roman" w:eastAsia="Times New Roman" w:hAnsi="Times New Roman"/>
          <w:sz w:val="18"/>
          <w:szCs w:val="18"/>
          <w:u w:val="single" w:color="auto"/>
          <w:color w:val="0000EE"/>
        </w:rPr>
        <w:t xml:space="preserve"> </w:t>
      </w:r>
      <w:hyperlink r:id="rId71">
        <w:r>
          <w:rPr>
            <w:rFonts w:ascii="Times New Roman" w:cs="Times New Roman" w:eastAsia="Times New Roman" w:hAnsi="Times New Roman"/>
            <w:sz w:val="18"/>
            <w:szCs w:val="18"/>
            <w:u w:val="single" w:color="auto"/>
            <w:color w:val="0000EE"/>
          </w:rPr>
          <w:t>August 8, 2005).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tabs>
          <w:tab w:leader="none" w:pos="7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0000EE"/>
        </w:rPr>
        <w:t>Description of Registrant’s Securities (attached hereto)</w:t>
      </w:r>
    </w:p>
    <w:p>
      <w:pPr>
        <w:spacing w:after="0" w:line="9" w:lineRule="exact"/>
        <w:rPr>
          <w:sz w:val="20"/>
          <w:szCs w:val="20"/>
          <w:color w:val="auto"/>
        </w:rPr>
      </w:pPr>
    </w:p>
    <w:p>
      <w:pPr>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73">
        <w:r>
          <w:rPr>
            <w:rFonts w:ascii="Times New Roman" w:cs="Times New Roman" w:eastAsia="Times New Roman" w:hAnsi="Times New Roman"/>
            <w:sz w:val="18"/>
            <w:szCs w:val="18"/>
            <w:u w:val="single" w:color="auto"/>
            <w:color w:val="0000EE"/>
          </w:rPr>
          <w:t>Form of Indemnification Agreement for directors and executive officers. (Incorporated by reference to our Annual Report on Form 10-K for the</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year ended December 31, 2013 filed on March 17,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75">
        <w:r>
          <w:rPr>
            <w:rFonts w:ascii="Times New Roman" w:cs="Times New Roman" w:eastAsia="Times New Roman" w:hAnsi="Times New Roman"/>
            <w:sz w:val="18"/>
            <w:szCs w:val="18"/>
            <w:u w:val="single" w:color="auto"/>
            <w:color w:val="0000EE"/>
          </w:rPr>
          <w:t>2005 Stock Incentive Plan (Incorporated by reference to our Registration Statement on Form S-1, as amended (File No. 333-125517), filed on</w:t>
        </w:r>
      </w:hyperlink>
      <w:r>
        <w:rPr>
          <w:rFonts w:ascii="Times New Roman" w:cs="Times New Roman" w:eastAsia="Times New Roman" w:hAnsi="Times New Roman"/>
          <w:sz w:val="18"/>
          <w:szCs w:val="18"/>
          <w:u w:val="single" w:color="auto"/>
          <w:color w:val="0000EE"/>
        </w:rPr>
        <w:t xml:space="preserve"> </w:t>
      </w:r>
      <w:hyperlink r:id="rId75">
        <w:r>
          <w:rPr>
            <w:rFonts w:ascii="Times New Roman" w:cs="Times New Roman" w:eastAsia="Times New Roman" w:hAnsi="Times New Roman"/>
            <w:sz w:val="18"/>
            <w:szCs w:val="18"/>
            <w:u w:val="single" w:color="auto"/>
            <w:color w:val="0000EE"/>
          </w:rPr>
          <w:t>August 8, 2005.</w:t>
        </w:r>
      </w:hyperlink>
    </w:p>
    <w:p>
      <w:pPr>
        <w:spacing w:after="0" w:line="1" w:lineRule="exact"/>
        <w:rPr>
          <w:sz w:val="20"/>
          <w:szCs w:val="20"/>
          <w:color w:val="auto"/>
        </w:rPr>
      </w:pP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76">
        <w:r>
          <w:rPr>
            <w:rFonts w:ascii="Times New Roman" w:cs="Times New Roman" w:eastAsia="Times New Roman" w:hAnsi="Times New Roman"/>
            <w:sz w:val="18"/>
            <w:szCs w:val="18"/>
            <w:u w:val="single" w:color="auto"/>
            <w:color w:val="0000EE"/>
          </w:rPr>
          <w:t>Form of Incentive Stock Option Agreement. (Incorporated by reference to our Annual Report on Form 10-K for the year ended December 31,</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76">
        <w:r>
          <w:rPr>
            <w:rFonts w:ascii="Times New Roman" w:cs="Times New Roman" w:eastAsia="Times New Roman" w:hAnsi="Times New Roman"/>
            <w:sz w:val="18"/>
            <w:szCs w:val="18"/>
            <w:u w:val="single" w:color="auto"/>
            <w:color w:val="0000EE"/>
          </w:rPr>
          <w:t>2015 filed on March 15,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78">
        <w:r>
          <w:rPr>
            <w:rFonts w:ascii="Times New Roman" w:cs="Times New Roman" w:eastAsia="Times New Roman" w:hAnsi="Times New Roman"/>
            <w:sz w:val="18"/>
            <w:szCs w:val="18"/>
            <w:u w:val="single" w:color="auto"/>
            <w:color w:val="0000EE"/>
          </w:rPr>
          <w:t>Form of Nonqualified Stock Option Agreement. (Incorporated by reference to our Annual Report on Form 10-K for the year ended December</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78">
        <w:r>
          <w:rPr>
            <w:rFonts w:ascii="Times New Roman" w:cs="Times New Roman" w:eastAsia="Times New Roman" w:hAnsi="Times New Roman"/>
            <w:sz w:val="18"/>
            <w:szCs w:val="18"/>
            <w:u w:val="single" w:color="auto"/>
            <w:color w:val="0000EE"/>
          </w:rPr>
          <w:t>31, 2015 filed on March 15, 2016)</w:t>
        </w:r>
      </w:hyperlink>
    </w:p>
    <w:p>
      <w:pPr>
        <w:spacing w:after="0" w:line="9" w:lineRule="exact"/>
        <w:rPr>
          <w:sz w:val="20"/>
          <w:szCs w:val="20"/>
          <w:color w:val="auto"/>
        </w:rPr>
      </w:pPr>
    </w:p>
    <w:p>
      <w:pPr>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79">
        <w:r>
          <w:rPr>
            <w:rFonts w:ascii="Times New Roman" w:cs="Times New Roman" w:eastAsia="Times New Roman" w:hAnsi="Times New Roman"/>
            <w:sz w:val="18"/>
            <w:szCs w:val="18"/>
            <w:u w:val="single" w:color="auto"/>
            <w:color w:val="0000EE"/>
          </w:rPr>
          <w:t>STRATA Skin Sciences 2016 Omnibus Option Plan. (Incorporated by reference to our Form 10-Q quarterly report for the quarter ended</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September 30, 2015 filed on November 14,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hanging="51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81">
        <w:r>
          <w:rPr>
            <w:rFonts w:ascii="Times New Roman" w:cs="Times New Roman" w:eastAsia="Times New Roman" w:hAnsi="Times New Roman"/>
            <w:sz w:val="18"/>
            <w:szCs w:val="18"/>
            <w:u w:val="single" w:color="auto"/>
            <w:color w:val="0000EE"/>
          </w:rPr>
          <w:t>Securities Purchase Agreement dated as of March 30, 2018, between the Company and Accelmed (Incorporated by reference to Exhibit 10.1</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contained in our Current Report on Form 8-K, as filed on April 2, 2018)</w:t>
        </w:r>
      </w:hyperlink>
    </w:p>
    <w:p>
      <w:pPr>
        <w:spacing w:after="0" w:line="1" w:lineRule="exact"/>
        <w:rPr>
          <w:sz w:val="20"/>
          <w:szCs w:val="20"/>
          <w:color w:val="auto"/>
        </w:rPr>
      </w:pPr>
    </w:p>
    <w:p>
      <w:pPr>
        <w:ind w:left="760" w:right="20" w:hanging="51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82">
        <w:r>
          <w:rPr>
            <w:rFonts w:ascii="Times New Roman" w:cs="Times New Roman" w:eastAsia="Times New Roman" w:hAnsi="Times New Roman"/>
            <w:sz w:val="18"/>
            <w:szCs w:val="18"/>
            <w:u w:val="single" w:color="auto"/>
            <w:color w:val="0000EE"/>
          </w:rPr>
          <w:t>Securities Purchase Agreement dated as of March 30, 2018, between the Company and Broadfin (Incorporated by reference to Exhibit 10.2</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contained in our Current Report on Form 8-K, as filed on 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20" w:hanging="516"/>
        <w:spacing w:after="0" w:line="26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84">
        <w:r>
          <w:rPr>
            <w:rFonts w:ascii="Times New Roman" w:cs="Times New Roman" w:eastAsia="Times New Roman" w:hAnsi="Times New Roman"/>
            <w:sz w:val="18"/>
            <w:szCs w:val="18"/>
            <w:u w:val="single" w:color="auto"/>
            <w:color w:val="0000EE"/>
          </w:rPr>
          <w:t>Securities Purchase Agreement dated as of March 30, 2018, between the Company and Sabby (Incorporated by reference to Exhibit 10.3</w:t>
        </w:r>
      </w:hyperlink>
      <w:r>
        <w:rPr>
          <w:rFonts w:ascii="Times New Roman" w:cs="Times New Roman" w:eastAsia="Times New Roman" w:hAnsi="Times New Roman"/>
          <w:sz w:val="18"/>
          <w:szCs w:val="18"/>
          <w:u w:val="single" w:color="auto"/>
          <w:color w:val="0000EE"/>
        </w:rPr>
        <w:t xml:space="preserve"> </w:t>
      </w:r>
      <w:hyperlink r:id="rId84">
        <w:r>
          <w:rPr>
            <w:rFonts w:ascii="Times New Roman" w:cs="Times New Roman" w:eastAsia="Times New Roman" w:hAnsi="Times New Roman"/>
            <w:sz w:val="18"/>
            <w:szCs w:val="18"/>
            <w:u w:val="single" w:color="auto"/>
            <w:color w:val="0000EE"/>
          </w:rPr>
          <w:t>contained in our Current Report on Form 8-K, as filed on April 2, 2018).</w:t>
        </w:r>
      </w:hyperlink>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760" w:hanging="516"/>
        <w:spacing w:after="0" w:line="261"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86">
        <w:r>
          <w:rPr>
            <w:rFonts w:ascii="Times New Roman" w:cs="Times New Roman" w:eastAsia="Times New Roman" w:hAnsi="Times New Roman"/>
            <w:sz w:val="18"/>
            <w:szCs w:val="18"/>
            <w:u w:val="single" w:color="auto"/>
            <w:color w:val="0000EE"/>
          </w:rPr>
          <w:t>Form of Registration Rights Agreement (Incorporated by reference to Exhibit 10.4 contained in our Current Report on Form 8-K, as filed on</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April 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88">
        <w:r>
          <w:rPr>
            <w:rFonts w:ascii="Times New Roman" w:cs="Times New Roman" w:eastAsia="Times New Roman" w:hAnsi="Times New Roman"/>
            <w:sz w:val="18"/>
            <w:szCs w:val="18"/>
            <w:u w:val="single" w:color="auto"/>
            <w:color w:val="0000EE"/>
          </w:rPr>
          <w:t>Form of Leak-Out Agreement (Incorporated by reference to Exhibit 10.5 contained in our Current Report on Form 8-K, as filed on April 2,</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90">
        <w:r>
          <w:rPr>
            <w:rFonts w:ascii="Times New Roman" w:cs="Times New Roman" w:eastAsia="Times New Roman" w:hAnsi="Times New Roman"/>
            <w:sz w:val="18"/>
            <w:szCs w:val="18"/>
            <w:u w:val="single" w:color="auto"/>
            <w:color w:val="0000EE"/>
          </w:rPr>
          <w:t>Form of Subscription Agreement (Incorporated by reference to Exhibit 10.7 contained in our Current Report on Form 8-K, as filed on April 2,</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2018).</w:t>
        </w:r>
      </w:hyperlink>
    </w:p>
    <w:p>
      <w:pPr>
        <w:spacing w:after="0" w:line="9" w:lineRule="exact"/>
        <w:rPr>
          <w:sz w:val="20"/>
          <w:szCs w:val="20"/>
          <w:color w:val="auto"/>
        </w:rPr>
      </w:pPr>
    </w:p>
    <w:p>
      <w:pPr>
        <w:ind w:left="760" w:right="2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91">
        <w:r>
          <w:rPr>
            <w:rFonts w:ascii="Times New Roman" w:cs="Times New Roman" w:eastAsia="Times New Roman" w:hAnsi="Times New Roman"/>
            <w:sz w:val="18"/>
            <w:szCs w:val="18"/>
            <w:u w:val="single" w:color="auto"/>
            <w:color w:val="0000EE"/>
          </w:rPr>
          <w:t>Amended and Restated Strata Skin Sciences, Inc. 2016 Omnibus Incentive Plan (Incorporated by reference to Appendix A to our Definitive</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Proxy Statement on Schedule 14A, as filed on June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93">
        <w:r>
          <w:rPr>
            <w:rFonts w:ascii="Times New Roman" w:cs="Times New Roman" w:eastAsia="Times New Roman" w:hAnsi="Times New Roman"/>
            <w:sz w:val="18"/>
            <w:szCs w:val="18"/>
            <w:u w:val="single" w:color="auto"/>
            <w:color w:val="0000EE"/>
          </w:rPr>
          <w:t>Sublease Agreement between Luigi Bormioli Corporation and the Company for office space at 5 Walnut Grove Drive, Horsham, PA 19044</w:t>
        </w:r>
      </w:hyperlink>
      <w:r>
        <w:rPr>
          <w:rFonts w:ascii="Times New Roman" w:cs="Times New Roman" w:eastAsia="Times New Roman" w:hAnsi="Times New Roman"/>
          <w:sz w:val="18"/>
          <w:szCs w:val="18"/>
          <w:u w:val="single" w:color="auto"/>
          <w:color w:val="0000EE"/>
        </w:rPr>
        <w:t xml:space="preserve"> </w:t>
      </w:r>
      <w:hyperlink r:id="rId93">
        <w:r>
          <w:rPr>
            <w:rFonts w:ascii="Times New Roman" w:cs="Times New Roman" w:eastAsia="Times New Roman" w:hAnsi="Times New Roman"/>
            <w:sz w:val="18"/>
            <w:szCs w:val="18"/>
            <w:u w:val="single" w:color="auto"/>
            <w:color w:val="0000EE"/>
          </w:rPr>
          <w:t>(Incorporated by reference to Exhibit 10.1 contained in our Current Report on Form 8-K, as filed on October 3, 2018).</w:t>
        </w:r>
      </w:hyperlink>
    </w:p>
    <w:p>
      <w:pPr>
        <w:spacing w:after="0" w:line="1" w:lineRule="exact"/>
        <w:rPr>
          <w:sz w:val="20"/>
          <w:szCs w:val="20"/>
          <w:color w:val="auto"/>
        </w:rPr>
      </w:pP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94">
        <w:r>
          <w:rPr>
            <w:rFonts w:ascii="Times New Roman" w:cs="Times New Roman" w:eastAsia="Times New Roman" w:hAnsi="Times New Roman"/>
            <w:sz w:val="18"/>
            <w:szCs w:val="18"/>
            <w:u w:val="single" w:color="auto"/>
            <w:color w:val="0000EE"/>
          </w:rPr>
          <w:t>Settlement Agreement and Release, dated as of August 10, 2020, between STRATA Skin Sciences, Inc. and Ra Medical Systems, Inc.</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(incorporated by reference to Exhibit 10.1 to our Current Report on Form 8-K filed on August 11,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96">
        <w:r>
          <w:rPr>
            <w:rFonts w:ascii="Times New Roman" w:cs="Times New Roman" w:eastAsia="Times New Roman" w:hAnsi="Times New Roman"/>
            <w:sz w:val="18"/>
            <w:szCs w:val="18"/>
            <w:u w:val="single" w:color="auto"/>
            <w:color w:val="0000EE"/>
          </w:rPr>
          <w:t>Employment Agreement, dated as of March 1, 2021, between Robert Moccia and STRATA Skin Sciences, Inc. (incorporated by reference to</w:t>
        </w:r>
      </w:hyperlink>
      <w:r>
        <w:rPr>
          <w:rFonts w:ascii="Times New Roman" w:cs="Times New Roman" w:eastAsia="Times New Roman" w:hAnsi="Times New Roman"/>
          <w:sz w:val="18"/>
          <w:szCs w:val="18"/>
          <w:u w:val="single" w:color="auto"/>
          <w:color w:val="0000EE"/>
        </w:rPr>
        <w:t xml:space="preserve"> </w:t>
      </w:r>
      <w:hyperlink r:id="rId96">
        <w:r>
          <w:rPr>
            <w:rFonts w:ascii="Times New Roman" w:cs="Times New Roman" w:eastAsia="Times New Roman" w:hAnsi="Times New Roman"/>
            <w:sz w:val="18"/>
            <w:szCs w:val="18"/>
            <w:u w:val="single" w:color="auto"/>
            <w:color w:val="0000EE"/>
          </w:rPr>
          <w:t>Exhibit 10.3 to our Current Report on Form 8-K filed on March 1, 2021).</w:t>
        </w:r>
      </w:hyperlink>
    </w:p>
    <w:p>
      <w:pPr>
        <w:spacing w:after="0" w:line="1" w:lineRule="exact"/>
        <w:rPr>
          <w:sz w:val="20"/>
          <w:szCs w:val="20"/>
          <w:color w:val="auto"/>
        </w:rPr>
      </w:pPr>
    </w:p>
    <w:p>
      <w:pPr>
        <w:ind w:left="76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97">
        <w:r>
          <w:rPr>
            <w:rFonts w:ascii="Times New Roman" w:cs="Times New Roman" w:eastAsia="Times New Roman" w:hAnsi="Times New Roman"/>
            <w:sz w:val="18"/>
            <w:szCs w:val="18"/>
            <w:u w:val="single" w:color="auto"/>
            <w:color w:val="0000EE"/>
          </w:rPr>
          <w:t>Form of Stock Option Agreement, dated as of March 1, 2021, between Robert Moccia and STRATA Skin Sciences, Inc. (incorporated by</w:t>
        </w:r>
      </w:hyperlink>
      <w:r>
        <w:rPr>
          <w:rFonts w:ascii="Times New Roman" w:cs="Times New Roman" w:eastAsia="Times New Roman" w:hAnsi="Times New Roman"/>
          <w:sz w:val="18"/>
          <w:szCs w:val="18"/>
          <w:u w:val="single" w:color="auto"/>
          <w:color w:val="0000EE"/>
        </w:rPr>
        <w:t xml:space="preserve"> </w:t>
      </w:r>
      <w:hyperlink r:id="rId97">
        <w:r>
          <w:rPr>
            <w:rFonts w:ascii="Times New Roman" w:cs="Times New Roman" w:eastAsia="Times New Roman" w:hAnsi="Times New Roman"/>
            <w:sz w:val="18"/>
            <w:szCs w:val="18"/>
            <w:u w:val="single" w:color="auto"/>
            <w:color w:val="0000EE"/>
          </w:rPr>
          <w:t>reference to Exhibit 10.4 to our Current Report on Form 8-K filed on March 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99">
        <w:r>
          <w:rPr>
            <w:rFonts w:ascii="Times New Roman" w:cs="Times New Roman" w:eastAsia="Times New Roman" w:hAnsi="Times New Roman"/>
            <w:sz w:val="18"/>
            <w:szCs w:val="18"/>
            <w:u w:val="single" w:color="auto"/>
            <w:color w:val="0000EE"/>
          </w:rPr>
          <w:t>Employment Agreement, dated as of October 4, 2021, between Christopher Lesovitz and STRATA Skin Sciences, Inc. (incorporated by</w:t>
        </w:r>
      </w:hyperlink>
      <w:r>
        <w:rPr>
          <w:rFonts w:ascii="Times New Roman" w:cs="Times New Roman" w:eastAsia="Times New Roman" w:hAnsi="Times New Roman"/>
          <w:sz w:val="18"/>
          <w:szCs w:val="18"/>
          <w:u w:val="single" w:color="auto"/>
          <w:color w:val="0000EE"/>
        </w:rPr>
        <w:t xml:space="preserve"> </w:t>
      </w:r>
      <w:hyperlink r:id="rId99">
        <w:r>
          <w:rPr>
            <w:rFonts w:ascii="Times New Roman" w:cs="Times New Roman" w:eastAsia="Times New Roman" w:hAnsi="Times New Roman"/>
            <w:sz w:val="18"/>
            <w:szCs w:val="18"/>
            <w:u w:val="single" w:color="auto"/>
            <w:color w:val="0000EE"/>
          </w:rPr>
          <w:t>reference to Exhibit 10.5 to our Current Report on Form 8-K filed on October 4, 2021).</w:t>
        </w:r>
      </w:hyperlink>
    </w:p>
    <w:p>
      <w:pPr>
        <w:spacing w:after="0" w:line="1" w:lineRule="exact"/>
        <w:rPr>
          <w:sz w:val="20"/>
          <w:szCs w:val="20"/>
          <w:color w:val="auto"/>
        </w:rPr>
      </w:pP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100">
        <w:r>
          <w:rPr>
            <w:rFonts w:ascii="Times New Roman" w:cs="Times New Roman" w:eastAsia="Times New Roman" w:hAnsi="Times New Roman"/>
            <w:sz w:val="18"/>
            <w:szCs w:val="18"/>
            <w:u w:val="single" w:color="auto"/>
            <w:color w:val="0000EE"/>
          </w:rPr>
          <w:t>Form of Equity Distribution Agreement, dated October 15, 2021, between STRATA Skin Sciences, Inc. and Ladenburg Thalmann &amp; Co. Inc.</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00">
        <w:r>
          <w:rPr>
            <w:rFonts w:ascii="Times New Roman" w:cs="Times New Roman" w:eastAsia="Times New Roman" w:hAnsi="Times New Roman"/>
            <w:sz w:val="18"/>
            <w:szCs w:val="18"/>
            <w:u w:val="single" w:color="auto"/>
            <w:color w:val="0000EE"/>
          </w:rPr>
          <w:t>(incorporated by reference to Exhibit 10.1 to our Current Report on Form 8-K filed on October 18,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2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102">
        <w:r>
          <w:rPr>
            <w:rFonts w:ascii="Times New Roman" w:cs="Times New Roman" w:eastAsia="Times New Roman" w:hAnsi="Times New Roman"/>
            <w:sz w:val="18"/>
            <w:szCs w:val="18"/>
            <w:u w:val="single" w:color="auto"/>
            <w:color w:val="0000EE"/>
          </w:rPr>
          <w:t>Form of Management Change of Control Severance Agreement (incorporated by reference to Exhibit 10.79 to our Annual Report on Form 10-K</w:t>
        </w:r>
      </w:hyperlink>
      <w:r>
        <w:rPr>
          <w:rFonts w:ascii="Times New Roman" w:cs="Times New Roman" w:eastAsia="Times New Roman" w:hAnsi="Times New Roman"/>
          <w:sz w:val="18"/>
          <w:szCs w:val="18"/>
          <w:u w:val="single" w:color="auto"/>
          <w:color w:val="0000EE"/>
        </w:rPr>
        <w:t xml:space="preserve"> </w:t>
      </w:r>
      <w:hyperlink r:id="rId102">
        <w:r>
          <w:rPr>
            <w:rFonts w:ascii="Times New Roman" w:cs="Times New Roman" w:eastAsia="Times New Roman" w:hAnsi="Times New Roman"/>
            <w:sz w:val="18"/>
            <w:szCs w:val="18"/>
            <w:u w:val="single" w:color="auto"/>
            <w:color w:val="0000EE"/>
          </w:rPr>
          <w:t>for the year ended December 31, 2021).</w:t>
        </w:r>
      </w:hyperlink>
    </w:p>
    <w:p>
      <w:pPr>
        <w:spacing w:after="0" w:line="1" w:lineRule="exact"/>
        <w:rPr>
          <w:sz w:val="20"/>
          <w:szCs w:val="20"/>
          <w:color w:val="auto"/>
        </w:rPr>
      </w:pPr>
    </w:p>
    <w:p>
      <w:pPr>
        <w:jc w:val="both"/>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103">
        <w:r>
          <w:rPr>
            <w:rFonts w:ascii="Times New Roman" w:cs="Times New Roman" w:eastAsia="Times New Roman" w:hAnsi="Times New Roman"/>
            <w:sz w:val="18"/>
            <w:szCs w:val="18"/>
            <w:u w:val="single" w:color="auto"/>
            <w:color w:val="0000EE"/>
          </w:rPr>
          <w:t>Credit and Security Agreement, dated as of September 30, 2021, as amended January 10, 2022, September 6, 2022 and June 30, 2023, among</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STRATA Skin Sciences, Inc., MidCap Financial Trust, as administrative agent, and the lenders identified therein. (incorporated by reference to</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Exhibit A of Exhibit 10.1 to our Current Report on Form 8-K filed on June 30,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105">
        <w:r>
          <w:rPr>
            <w:rFonts w:ascii="Times New Roman" w:cs="Times New Roman" w:eastAsia="Times New Roman" w:hAnsi="Times New Roman"/>
            <w:sz w:val="18"/>
            <w:szCs w:val="18"/>
            <w:u w:val="single" w:color="auto"/>
            <w:color w:val="0000EE"/>
          </w:rPr>
          <w:t>Intellectual Property Security Agreement, dated as of September 30, 2021, between STRATA Skin Sciences, Inc. and MidCap Financial Trust.</w:t>
        </w:r>
      </w:hyperlink>
    </w:p>
    <w:p>
      <w:pPr>
        <w:spacing w:after="0" w:line="9" w:lineRule="exact"/>
        <w:rPr>
          <w:rFonts w:ascii="Times New Roman" w:cs="Times New Roman" w:eastAsia="Times New Roman" w:hAnsi="Times New Roman"/>
          <w:sz w:val="18"/>
          <w:szCs w:val="18"/>
          <w:u w:val="single" w:color="auto"/>
          <w:color w:val="0000EE"/>
        </w:rPr>
      </w:pPr>
    </w:p>
    <w:p>
      <w:pPr>
        <w:ind w:left="760"/>
        <w:spacing w:after="0"/>
        <w:rPr>
          <w:rFonts w:ascii="Times New Roman" w:cs="Times New Roman" w:eastAsia="Times New Roman" w:hAnsi="Times New Roman"/>
          <w:sz w:val="18"/>
          <w:szCs w:val="18"/>
          <w:u w:val="single" w:color="auto"/>
          <w:color w:val="0000EE"/>
        </w:rPr>
      </w:pPr>
      <w:hyperlink r:id="rId105">
        <w:r>
          <w:rPr>
            <w:rFonts w:ascii="Times New Roman" w:cs="Times New Roman" w:eastAsia="Times New Roman" w:hAnsi="Times New Roman"/>
            <w:sz w:val="18"/>
            <w:szCs w:val="18"/>
            <w:u w:val="single" w:color="auto"/>
            <w:color w:val="0000EE"/>
          </w:rPr>
          <w:t>(incorporated by reference to Exhibit 10.2 to our Current Report on Form 8-K filed on October 4, 2021).</w:t>
        </w:r>
      </w:hyperlink>
    </w:p>
    <w:p>
      <w:pPr>
        <w:spacing w:after="0" w:line="9" w:lineRule="exact"/>
        <w:rPr>
          <w:rFonts w:ascii="Times New Roman" w:cs="Times New Roman" w:eastAsia="Times New Roman" w:hAnsi="Times New Roman"/>
          <w:sz w:val="18"/>
          <w:szCs w:val="18"/>
          <w:u w:val="single" w:color="auto"/>
          <w:color w:val="0000EE"/>
        </w:rPr>
      </w:pPr>
    </w:p>
    <w:p>
      <w:pPr>
        <w:jc w:val="both"/>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106">
        <w:r>
          <w:rPr>
            <w:rFonts w:ascii="Times New Roman" w:cs="Times New Roman" w:eastAsia="Times New Roman" w:hAnsi="Times New Roman"/>
            <w:sz w:val="18"/>
            <w:szCs w:val="18"/>
            <w:u w:val="single" w:color="auto"/>
            <w:color w:val="0000EE"/>
          </w:rPr>
          <w:t>Amended and Restated Warrant Agreement to Purchase Shares of the Common Stock of STRATA Skin Sciences, Inc., dated as of June 30, 2023,</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between STRATA Skin Sciences, Inc. and MidCap Funding XXVII Trust (incorporated by reference to Exhibit 10.4 to our Current Report on</w:t>
        </w:r>
      </w:hyperlink>
      <w:r>
        <w:rPr>
          <w:rFonts w:ascii="Times New Roman" w:cs="Times New Roman" w:eastAsia="Times New Roman" w:hAnsi="Times New Roman"/>
          <w:sz w:val="18"/>
          <w:szCs w:val="18"/>
          <w:u w:val="single" w:color="auto"/>
          <w:color w:val="0000EE"/>
        </w:rPr>
        <w:t xml:space="preserve"> </w:t>
      </w:r>
      <w:hyperlink r:id="rId106">
        <w:r>
          <w:rPr>
            <w:rFonts w:ascii="Times New Roman" w:cs="Times New Roman" w:eastAsia="Times New Roman" w:hAnsi="Times New Roman"/>
            <w:sz w:val="18"/>
            <w:szCs w:val="18"/>
            <w:u w:val="single" w:color="auto"/>
            <w:color w:val="0000EE"/>
          </w:rPr>
          <w:t>Form 8-K filed on July 6,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108">
        <w:r>
          <w:rPr>
            <w:rFonts w:ascii="Times New Roman" w:cs="Times New Roman" w:eastAsia="Times New Roman" w:hAnsi="Times New Roman"/>
            <w:sz w:val="18"/>
            <w:szCs w:val="18"/>
            <w:u w:val="single" w:color="auto"/>
            <w:color w:val="0000EE"/>
          </w:rPr>
          <w:t>Amended and Restated Registration Rights Agreement, dated as of June 30, 2023, between STRATA Skin Sciences, Inc. and MidCap Funding</w:t>
        </w:r>
      </w:hyperlink>
      <w:r>
        <w:rPr>
          <w:rFonts w:ascii="Times New Roman" w:cs="Times New Roman" w:eastAsia="Times New Roman" w:hAnsi="Times New Roman"/>
          <w:sz w:val="18"/>
          <w:szCs w:val="18"/>
          <w:u w:val="single" w:color="auto"/>
          <w:color w:val="0000EE"/>
        </w:rPr>
        <w:t xml:space="preserve"> </w:t>
      </w:r>
      <w:hyperlink r:id="rId108">
        <w:r>
          <w:rPr>
            <w:rFonts w:ascii="Times New Roman" w:cs="Times New Roman" w:eastAsia="Times New Roman" w:hAnsi="Times New Roman"/>
            <w:sz w:val="18"/>
            <w:szCs w:val="18"/>
            <w:u w:val="single" w:color="auto"/>
            <w:color w:val="0000EE"/>
          </w:rPr>
          <w:t>XXVII Trust (incorporated by reference to Exhibit 10.5 to our Current Report on Form 8-K filed on July 6, 2023).</w:t>
        </w:r>
      </w:hyperlink>
    </w:p>
    <w:p>
      <w:pPr>
        <w:spacing w:after="0" w:line="1" w:lineRule="exact"/>
        <w:rPr>
          <w:sz w:val="20"/>
          <w:szCs w:val="20"/>
          <w:color w:val="auto"/>
        </w:rPr>
      </w:pPr>
    </w:p>
    <w:p>
      <w:pPr>
        <w:jc w:val="both"/>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103">
        <w:r>
          <w:rPr>
            <w:rFonts w:ascii="Times New Roman" w:cs="Times New Roman" w:eastAsia="Times New Roman" w:hAnsi="Times New Roman"/>
            <w:sz w:val="18"/>
            <w:szCs w:val="18"/>
            <w:u w:val="single" w:color="auto"/>
            <w:color w:val="0000EE"/>
          </w:rPr>
          <w:t>Amendment No. 3 to Credit and Security Agreement, dated as of June 30, 2023, among STRATA Skin Sciences, Inc., MidCap Financial Trust,</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as administrative agent, and the lenders identified therein (incorporated by reference to Exhibit 10.1 to our Current Report on Form 8-K filed on</w:t>
        </w:r>
      </w:hyperlink>
      <w:r>
        <w:rPr>
          <w:rFonts w:ascii="Times New Roman" w:cs="Times New Roman" w:eastAsia="Times New Roman" w:hAnsi="Times New Roman"/>
          <w:sz w:val="18"/>
          <w:szCs w:val="18"/>
          <w:u w:val="single" w:color="auto"/>
          <w:color w:val="0000EE"/>
        </w:rPr>
        <w:t xml:space="preserve"> </w:t>
      </w:r>
      <w:hyperlink r:id="rId103">
        <w:r>
          <w:rPr>
            <w:rFonts w:ascii="Times New Roman" w:cs="Times New Roman" w:eastAsia="Times New Roman" w:hAnsi="Times New Roman"/>
            <w:sz w:val="18"/>
            <w:szCs w:val="18"/>
            <w:u w:val="single" w:color="auto"/>
            <w:color w:val="0000EE"/>
          </w:rPr>
          <w:t>June 30,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411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jc w:val="both"/>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110">
        <w:r>
          <w:rPr>
            <w:rFonts w:ascii="Times New Roman" w:cs="Times New Roman" w:eastAsia="Times New Roman" w:hAnsi="Times New Roman"/>
            <w:sz w:val="18"/>
            <w:szCs w:val="18"/>
            <w:u w:val="single" w:color="auto"/>
            <w:color w:val="0000EE"/>
          </w:rPr>
          <w:t>Amendment No. 4 to Credit and Security Agreement, dated as of February 20, 2024, among STRATA Skin Sciences, Inc., MidCap Financial</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Trust, as administrative agent, and the lenders identified therein (incorporated by reference to Exhibit 10.1 to our Current Report on Form 8-K</w:t>
        </w:r>
      </w:hyperlink>
      <w:r>
        <w:rPr>
          <w:rFonts w:ascii="Times New Roman" w:cs="Times New Roman" w:eastAsia="Times New Roman" w:hAnsi="Times New Roman"/>
          <w:sz w:val="18"/>
          <w:szCs w:val="18"/>
          <w:u w:val="single" w:color="auto"/>
          <w:color w:val="0000EE"/>
        </w:rPr>
        <w:t xml:space="preserve"> </w:t>
      </w:r>
      <w:hyperlink r:id="rId110">
        <w:r>
          <w:rPr>
            <w:rFonts w:ascii="Times New Roman" w:cs="Times New Roman" w:eastAsia="Times New Roman" w:hAnsi="Times New Roman"/>
            <w:sz w:val="18"/>
            <w:szCs w:val="18"/>
            <w:u w:val="single" w:color="auto"/>
            <w:color w:val="0000EE"/>
          </w:rPr>
          <w:t>filed on February 21, 2024)</w:t>
        </w:r>
      </w:hyperlink>
    </w:p>
    <w:p>
      <w:pPr>
        <w:spacing w:after="0" w:line="1" w:lineRule="exact"/>
        <w:rPr>
          <w:rFonts w:ascii="Times New Roman" w:cs="Times New Roman" w:eastAsia="Times New Roman" w:hAnsi="Times New Roman"/>
          <w:sz w:val="18"/>
          <w:szCs w:val="18"/>
          <w:u w:val="single" w:color="auto"/>
          <w:color w:val="0000EE"/>
        </w:rPr>
      </w:pPr>
    </w:p>
    <w:p>
      <w:pPr>
        <w:jc w:val="both"/>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10.26</w:t>
      </w:r>
      <w:r>
        <w:rPr>
          <w:sz w:val="20"/>
          <w:szCs w:val="20"/>
          <w:color w:val="auto"/>
        </w:rPr>
        <w:tab/>
      </w:r>
      <w:hyperlink r:id="rId111">
        <w:r>
          <w:rPr>
            <w:rFonts w:ascii="Times New Roman" w:cs="Times New Roman" w:eastAsia="Times New Roman" w:hAnsi="Times New Roman"/>
            <w:sz w:val="18"/>
            <w:szCs w:val="18"/>
            <w:u w:val="single" w:color="auto"/>
            <w:color w:val="0000EE"/>
          </w:rPr>
          <w:t>Amendment No. 5 to Credit and Security Agreement, dated as of March 27, 2024, among STRATA Skin Sciences, Inc., MidCap Financial Trust,</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as administrative agent, and the lenders identified therein (incorporated by reference to Exhibit 10.26 to our Annual Report on Form 10-K for the</w:t>
        </w:r>
      </w:hyperlink>
      <w:r>
        <w:rPr>
          <w:rFonts w:ascii="Times New Roman" w:cs="Times New Roman" w:eastAsia="Times New Roman" w:hAnsi="Times New Roman"/>
          <w:sz w:val="18"/>
          <w:szCs w:val="18"/>
          <w:u w:val="single" w:color="auto"/>
          <w:color w:val="0000EE"/>
        </w:rPr>
        <w:t xml:space="preserve"> </w:t>
      </w:r>
      <w:hyperlink r:id="rId111">
        <w:r>
          <w:rPr>
            <w:rFonts w:ascii="Times New Roman" w:cs="Times New Roman" w:eastAsia="Times New Roman" w:hAnsi="Times New Roman"/>
            <w:sz w:val="18"/>
            <w:szCs w:val="18"/>
            <w:u w:val="single" w:color="auto"/>
            <w:color w:val="0000EE"/>
          </w:rPr>
          <w:t>year ended December 31,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jc w:val="both"/>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10.27</w:t>
      </w:r>
      <w:r>
        <w:rPr>
          <w:sz w:val="20"/>
          <w:szCs w:val="20"/>
          <w:color w:val="auto"/>
        </w:rPr>
        <w:tab/>
      </w:r>
      <w:hyperlink r:id="rId113">
        <w:r>
          <w:rPr>
            <w:rFonts w:ascii="Times New Roman" w:cs="Times New Roman" w:eastAsia="Times New Roman" w:hAnsi="Times New Roman"/>
            <w:sz w:val="18"/>
            <w:szCs w:val="18"/>
            <w:u w:val="single" w:color="auto"/>
            <w:color w:val="0000EE"/>
          </w:rPr>
          <w:t>Asset Purchase Agreement, dated as of January 10, 2022, between STRATA Skin Sciences, Inc., Theravant Corporation and certain other parties</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thereto (incorporated by reference as Exhibit 10.1 to our Current Report on Form 8-K dated January 10, 2022).</w:t>
        </w:r>
      </w:hyperlink>
    </w:p>
    <w:p>
      <w:pPr>
        <w:spacing w:after="0" w:line="1" w:lineRule="exact"/>
        <w:rPr>
          <w:sz w:val="20"/>
          <w:szCs w:val="20"/>
          <w:color w:val="auto"/>
        </w:rPr>
      </w:pPr>
    </w:p>
    <w:p>
      <w:pPr>
        <w:ind w:left="160"/>
        <w:spacing w:after="0"/>
        <w:tabs>
          <w:tab w:leader="none" w:pos="7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10.28</w:t>
      </w:r>
      <w:r>
        <w:rPr>
          <w:sz w:val="20"/>
          <w:szCs w:val="20"/>
          <w:color w:val="auto"/>
        </w:rPr>
        <w:tab/>
      </w:r>
      <w:hyperlink r:id="rId114">
        <w:r>
          <w:rPr>
            <w:rFonts w:ascii="Times New Roman" w:cs="Times New Roman" w:eastAsia="Times New Roman" w:hAnsi="Times New Roman"/>
            <w:sz w:val="17"/>
            <w:szCs w:val="17"/>
            <w:u w:val="single" w:color="auto"/>
            <w:color w:val="0000EE"/>
          </w:rPr>
          <w:t>Form of Development Agreement by and between Theravant Corporation and STRATA Skin Sciences, Inc. (incorporated by reference to Exhibit</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14">
        <w:r>
          <w:rPr>
            <w:rFonts w:ascii="Times New Roman" w:cs="Times New Roman" w:eastAsia="Times New Roman" w:hAnsi="Times New Roman"/>
            <w:sz w:val="18"/>
            <w:szCs w:val="18"/>
            <w:u w:val="single" w:color="auto"/>
            <w:color w:val="0000EE"/>
          </w:rPr>
          <w:t>10.2 to our Quarterly Report on Form 10-Q for the period ended March 31, 2022).</w:t>
        </w:r>
      </w:hyperlink>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760" w:hanging="606"/>
        <w:spacing w:after="0" w:line="261"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10.29</w:t>
      </w:r>
      <w:r>
        <w:rPr>
          <w:sz w:val="20"/>
          <w:szCs w:val="20"/>
          <w:color w:val="auto"/>
        </w:rPr>
        <w:tab/>
      </w:r>
      <w:hyperlink r:id="rId116">
        <w:r>
          <w:rPr>
            <w:rFonts w:ascii="Times New Roman" w:cs="Times New Roman" w:eastAsia="Times New Roman" w:hAnsi="Times New Roman"/>
            <w:sz w:val="18"/>
            <w:szCs w:val="18"/>
            <w:u w:val="single" w:color="auto"/>
            <w:color w:val="0000EE"/>
          </w:rPr>
          <w:t>Asset Purchase Agreement, dated as of August 16, 2021, between STRATA Skin Sciences, Inc. and Ra Medical Systems, Inc. (incorporated by</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reference to Exhibit 10.1 to our Current Report on Form 8-K filed on August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10.30*</w:t>
      </w:r>
      <w:r>
        <w:rPr>
          <w:sz w:val="20"/>
          <w:szCs w:val="20"/>
          <w:color w:val="auto"/>
        </w:rPr>
        <w:tab/>
      </w:r>
      <w:hyperlink r:id="rId118">
        <w:r>
          <w:rPr>
            <w:rFonts w:ascii="Times New Roman" w:cs="Times New Roman" w:eastAsia="Times New Roman" w:hAnsi="Times New Roman"/>
            <w:sz w:val="18"/>
            <w:szCs w:val="18"/>
            <w:u w:val="single" w:color="auto"/>
            <w:color w:val="0000EE"/>
          </w:rPr>
          <w:t>Form of Performance Stock Option Agreement (Non-Qualified Stock Option) (incorporated by reference to Exhibit 10.3 to our Quarterly Report</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on Form 10-Q for the period ended March 31,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hanging="69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120">
        <w:r>
          <w:rPr>
            <w:rFonts w:ascii="Times New Roman" w:cs="Times New Roman" w:eastAsia="Times New Roman" w:hAnsi="Times New Roman"/>
            <w:sz w:val="18"/>
            <w:szCs w:val="18"/>
            <w:u w:val="single" w:color="auto"/>
            <w:color w:val="0000EE"/>
          </w:rPr>
          <w:t>Form of VWAP Performance Stock Option Agreement (Non-Qualified Stock Option) (incorporated by referenced to Exhibit 10.4 to our</w:t>
        </w:r>
      </w:hyperlink>
      <w:r>
        <w:rPr>
          <w:rFonts w:ascii="Times New Roman" w:cs="Times New Roman" w:eastAsia="Times New Roman" w:hAnsi="Times New Roman"/>
          <w:sz w:val="18"/>
          <w:szCs w:val="18"/>
          <w:u w:val="single" w:color="auto"/>
          <w:color w:val="0000EE"/>
        </w:rPr>
        <w:t xml:space="preserve"> </w:t>
      </w:r>
      <w:hyperlink r:id="rId120">
        <w:r>
          <w:rPr>
            <w:rFonts w:ascii="Times New Roman" w:cs="Times New Roman" w:eastAsia="Times New Roman" w:hAnsi="Times New Roman"/>
            <w:sz w:val="18"/>
            <w:szCs w:val="18"/>
            <w:u w:val="single" w:color="auto"/>
            <w:color w:val="0000EE"/>
          </w:rPr>
          <w:t>Quarterly Report on Form 10-Q for the period ended March 31, 2022)</w:t>
        </w:r>
      </w:hyperlink>
    </w:p>
    <w:p>
      <w:pPr>
        <w:spacing w:after="0" w:line="1" w:lineRule="exact"/>
        <w:rPr>
          <w:sz w:val="20"/>
          <w:szCs w:val="20"/>
          <w:color w:val="auto"/>
        </w:rPr>
      </w:pPr>
    </w:p>
    <w:p>
      <w:pPr>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21">
        <w:r>
          <w:rPr>
            <w:rFonts w:ascii="Times New Roman" w:cs="Times New Roman" w:eastAsia="Times New Roman" w:hAnsi="Times New Roman"/>
            <w:sz w:val="18"/>
            <w:szCs w:val="18"/>
            <w:u w:val="single" w:color="auto"/>
            <w:color w:val="0000EE"/>
          </w:rPr>
          <w:t>Letter Agreement, dated as of June 30, 2023, between STRATA Skin Sciences, Inc. and MidCap Financial Trust, as administrative agent</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(incorporated by reference to Exhibit 10.3 to our Current Report on Form 8-K filed on July 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23">
        <w:r>
          <w:rPr>
            <w:rFonts w:ascii="Times New Roman" w:cs="Times New Roman" w:eastAsia="Times New Roman" w:hAnsi="Times New Roman"/>
            <w:sz w:val="18"/>
            <w:szCs w:val="18"/>
            <w:u w:val="single" w:color="auto"/>
            <w:color w:val="0000EE"/>
          </w:rPr>
          <w:t>Intellectual Property Security Agreement Supplement, dated July 5, 2023, between STRATA Skin Sciences, Inc. and MidCap Financial Trust</w:t>
        </w:r>
      </w:hyperlink>
      <w:r>
        <w:rPr>
          <w:rFonts w:ascii="Times New Roman" w:cs="Times New Roman" w:eastAsia="Times New Roman" w:hAnsi="Times New Roman"/>
          <w:sz w:val="18"/>
          <w:szCs w:val="18"/>
          <w:u w:val="single" w:color="auto"/>
          <w:color w:val="0000EE"/>
        </w:rPr>
        <w:t xml:space="preserve"> </w:t>
      </w:r>
      <w:hyperlink r:id="rId123">
        <w:r>
          <w:rPr>
            <w:rFonts w:ascii="Times New Roman" w:cs="Times New Roman" w:eastAsia="Times New Roman" w:hAnsi="Times New Roman"/>
            <w:sz w:val="18"/>
            <w:szCs w:val="18"/>
            <w:u w:val="single" w:color="auto"/>
            <w:color w:val="0000EE"/>
          </w:rPr>
          <w:t>(incorporated by reference to Exhibit 10.6 to our Quarterly Report on Form 10-Q for the period ended June 30, 2023)</w:t>
        </w:r>
      </w:hyperlink>
    </w:p>
    <w:p>
      <w:pPr>
        <w:spacing w:after="0" w:line="1" w:lineRule="exact"/>
        <w:rPr>
          <w:sz w:val="20"/>
          <w:szCs w:val="20"/>
          <w:color w:val="auto"/>
        </w:rPr>
      </w:pP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24">
        <w:r>
          <w:rPr>
            <w:rFonts w:ascii="Times New Roman" w:cs="Times New Roman" w:eastAsia="Times New Roman" w:hAnsi="Times New Roman"/>
            <w:sz w:val="18"/>
            <w:szCs w:val="18"/>
            <w:u w:val="single" w:color="auto"/>
            <w:color w:val="0000EE"/>
          </w:rPr>
          <w:t>Employment Separation Agreement and Release, dated as of October 30, 2023, between Robert Moccia and STRATA Skin Sciences, Inc.</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24">
        <w:r>
          <w:rPr>
            <w:rFonts w:ascii="Times New Roman" w:cs="Times New Roman" w:eastAsia="Times New Roman" w:hAnsi="Times New Roman"/>
            <w:sz w:val="18"/>
            <w:szCs w:val="18"/>
            <w:u w:val="single" w:color="auto"/>
            <w:color w:val="0000EE"/>
          </w:rPr>
          <w:t>(incorporated by reference to Exhibit 10.2 to our Current Report on Form 8-K filed on October 30,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760" w:right="2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26">
        <w:r>
          <w:rPr>
            <w:rFonts w:ascii="Times New Roman" w:cs="Times New Roman" w:eastAsia="Times New Roman" w:hAnsi="Times New Roman"/>
            <w:sz w:val="18"/>
            <w:szCs w:val="18"/>
            <w:u w:val="single" w:color="auto"/>
            <w:color w:val="0000EE"/>
          </w:rPr>
          <w:t>Employment Agreement, dated as of October 30, 2023, between Dolev Rafaeli and STRATA Skin Sciences, Inc. (incorporated by reference to</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Exhibit 10.3 to our Current Report on Form 8-K filed on October 30, 2023).</w:t>
        </w:r>
      </w:hyperlink>
    </w:p>
    <w:p>
      <w:pPr>
        <w:spacing w:after="0" w:line="1" w:lineRule="exact"/>
        <w:rPr>
          <w:sz w:val="20"/>
          <w:szCs w:val="20"/>
          <w:color w:val="auto"/>
        </w:rPr>
      </w:pPr>
    </w:p>
    <w:p>
      <w:pPr>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27">
        <w:r>
          <w:rPr>
            <w:rFonts w:ascii="Times New Roman" w:cs="Times New Roman" w:eastAsia="Times New Roman" w:hAnsi="Times New Roman"/>
            <w:sz w:val="18"/>
            <w:szCs w:val="18"/>
            <w:u w:val="single" w:color="auto"/>
            <w:color w:val="0000EE"/>
          </w:rPr>
          <w:t>Form of Stock Option Agreement between Dolev Rafaeli and STRATA Skin Sciences, Inc. (incorporated by reference to Exhibit 10.4 to our</w:t>
        </w:r>
      </w:hyperlink>
      <w:r>
        <w:rPr>
          <w:rFonts w:ascii="Times New Roman" w:cs="Times New Roman" w:eastAsia="Times New Roman" w:hAnsi="Times New Roman"/>
          <w:sz w:val="18"/>
          <w:szCs w:val="18"/>
          <w:u w:val="single" w:color="auto"/>
          <w:color w:val="0000EE"/>
        </w:rPr>
        <w:t xml:space="preserve"> </w:t>
      </w:r>
      <w:hyperlink r:id="rId127">
        <w:r>
          <w:rPr>
            <w:rFonts w:ascii="Times New Roman" w:cs="Times New Roman" w:eastAsia="Times New Roman" w:hAnsi="Times New Roman"/>
            <w:sz w:val="18"/>
            <w:szCs w:val="18"/>
            <w:u w:val="single" w:color="auto"/>
            <w:color w:val="0000EE"/>
          </w:rPr>
          <w:t>Current Report on Form 8-K filed on October 30,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60"/>
        <w:spacing w:after="0"/>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129">
        <w:r>
          <w:rPr>
            <w:rFonts w:ascii="Times New Roman" w:cs="Times New Roman" w:eastAsia="Times New Roman" w:hAnsi="Times New Roman"/>
            <w:sz w:val="18"/>
            <w:szCs w:val="18"/>
            <w:u w:val="single" w:color="auto"/>
            <w:color w:val="0000EE"/>
          </w:rPr>
          <w:t>Retention Agreement, dated October 30, 2023, between Chris Lesovitz and STRATA Skin Sciences, Inc. (incorporated by reference to Exhibit</w:t>
        </w:r>
      </w:hyperlink>
    </w:p>
    <w:p>
      <w:pPr>
        <w:spacing w:after="0" w:line="9" w:lineRule="exact"/>
        <w:rPr>
          <w:sz w:val="20"/>
          <w:szCs w:val="20"/>
          <w:color w:val="auto"/>
        </w:rPr>
      </w:pPr>
    </w:p>
    <w:p>
      <w:pPr>
        <w:ind w:left="760"/>
        <w:spacing w:after="0"/>
        <w:rPr>
          <w:rFonts w:ascii="Times New Roman" w:cs="Times New Roman" w:eastAsia="Times New Roman" w:hAnsi="Times New Roman"/>
          <w:sz w:val="18"/>
          <w:szCs w:val="18"/>
          <w:u w:val="single" w:color="auto"/>
          <w:color w:val="0000EE"/>
        </w:rPr>
      </w:pPr>
      <w:hyperlink r:id="rId129">
        <w:r>
          <w:rPr>
            <w:rFonts w:ascii="Times New Roman" w:cs="Times New Roman" w:eastAsia="Times New Roman" w:hAnsi="Times New Roman"/>
            <w:sz w:val="18"/>
            <w:szCs w:val="18"/>
            <w:u w:val="single" w:color="auto"/>
            <w:color w:val="0000EE"/>
          </w:rPr>
          <w:t>10.5 to our Current Report on Form 8-K filed on October 30, 2023).</w:t>
        </w:r>
      </w:hyperlink>
    </w:p>
    <w:p>
      <w:pPr>
        <w:spacing w:after="0" w:line="9" w:lineRule="exact"/>
        <w:rPr>
          <w:sz w:val="20"/>
          <w:szCs w:val="20"/>
          <w:color w:val="auto"/>
        </w:rPr>
      </w:pPr>
    </w:p>
    <w:p>
      <w:pPr>
        <w:ind w:left="760" w:hanging="606"/>
        <w:spacing w:after="0" w:line="250" w:lineRule="auto"/>
        <w:tabs>
          <w:tab w:leader="none" w:pos="7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130">
        <w:r>
          <w:rPr>
            <w:rFonts w:ascii="Times New Roman" w:cs="Times New Roman" w:eastAsia="Times New Roman" w:hAnsi="Times New Roman"/>
            <w:sz w:val="18"/>
            <w:szCs w:val="18"/>
            <w:u w:val="single" w:color="auto"/>
            <w:color w:val="0000EE"/>
          </w:rPr>
          <w:t>Letter agreement, dated as of February 20, 2024, between STRATA Skin Sciences, Inc. and MidCap Financial Trust, as administrative agent</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(incorporated by reference to Exhibit 10.4 to our Current Report on Form 8-K filed on February 21,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40" w:right="7600" w:firstLine="142"/>
        <w:spacing w:after="0" w:line="250" w:lineRule="auto"/>
        <w:tabs>
          <w:tab w:leader="none" w:pos="7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Insider Trading Policy (attached hereto) </w:t>
      </w:r>
      <w:r>
        <w:rPr>
          <w:rFonts w:ascii="Times New Roman" w:cs="Times New Roman" w:eastAsia="Times New Roman" w:hAnsi="Times New Roman"/>
          <w:sz w:val="18"/>
          <w:szCs w:val="18"/>
          <w:color w:val="000000"/>
        </w:rPr>
        <w:t xml:space="preserve">23.1 </w:t>
      </w:r>
      <w:r>
        <w:rPr>
          <w:rFonts w:ascii="Times New Roman" w:cs="Times New Roman" w:eastAsia="Times New Roman" w:hAnsi="Times New Roman"/>
          <w:sz w:val="18"/>
          <w:szCs w:val="18"/>
          <w:u w:val="single" w:color="auto"/>
          <w:color w:val="0000EE"/>
        </w:rPr>
        <w:t>Consent of Marcum, LLP</w:t>
      </w: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Rule 13a-14(a) Certificate of Chief Executive Officer</w:t>
      </w:r>
    </w:p>
    <w:p>
      <w:pPr>
        <w:spacing w:after="0" w:line="9"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Rule 13a-14(a) Certificate of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760" w:type="dxa"/>
            <w:vAlign w:val="bottom"/>
            <w:tcBorders>
              <w:bottom w:val="single" w:sz="8" w:color="CCEEFF"/>
            </w:tcBorders>
            <w:shd w:val="clear" w:color="auto" w:fill="CCEEFF"/>
          </w:tcPr>
          <w:p>
            <w:pPr>
              <w:jc w:val="right"/>
              <w:ind w:right="110"/>
              <w:spacing w:after="0" w:line="184" w:lineRule="exact"/>
              <w:rPr>
                <w:sz w:val="20"/>
                <w:szCs w:val="20"/>
                <w:color w:val="auto"/>
              </w:rPr>
            </w:pPr>
            <w:r>
              <w:rPr>
                <w:rFonts w:ascii="Times New Roman" w:cs="Times New Roman" w:eastAsia="Times New Roman" w:hAnsi="Times New Roman"/>
                <w:sz w:val="18"/>
                <w:szCs w:val="18"/>
                <w:color w:val="auto"/>
              </w:rPr>
              <w:t>32.1**</w:t>
            </w:r>
          </w:p>
        </w:tc>
        <w:tc>
          <w:tcPr>
            <w:tcW w:w="10480" w:type="dxa"/>
            <w:vAlign w:val="bottom"/>
            <w:tcBorders>
              <w:bottom w:val="single" w:sz="8" w:color="0000EE"/>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0000EE"/>
              </w:rPr>
              <w:t>Certifications of Chief Executive Officer and Chief Accounting Officer pursuant to 18 U.S.C. Section 1350, as adopted pursuant to Section 906</w:t>
            </w:r>
          </w:p>
        </w:tc>
      </w:tr>
      <w:tr>
        <w:trPr>
          <w:trHeight w:val="216"/>
        </w:trPr>
        <w:tc>
          <w:tcPr>
            <w:tcW w:w="76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960" w:type="dxa"/>
            <w:vAlign w:val="bottom"/>
            <w:tcBorders>
              <w:bottom w:val="single" w:sz="8" w:color="CCEEFF"/>
            </w:tcBorders>
            <w:shd w:val="clear" w:color="auto" w:fill="CCEEFF"/>
          </w:tcPr>
          <w:p>
            <w:pPr>
              <w:spacing w:after="0"/>
              <w:rPr>
                <w:sz w:val="18"/>
                <w:szCs w:val="18"/>
                <w:color w:val="auto"/>
              </w:rPr>
            </w:pPr>
          </w:p>
        </w:tc>
      </w:tr>
      <w:tr>
        <w:trPr>
          <w:trHeight w:val="176"/>
        </w:trPr>
        <w:tc>
          <w:tcPr>
            <w:tcW w:w="76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480" w:type="dxa"/>
            <w:vAlign w:val="bottom"/>
            <w:tcBorders>
              <w:bottom w:val="single" w:sz="8" w:color="0000EE"/>
            </w:tcBorders>
            <w:gridSpan w:val="3"/>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STRATA Skin Sciences, Inc. Clawback Policy (incorporated by reference to Exhibit 10.39 to our Annual Report on Form 10-K for the year</w:t>
              </w:r>
            </w:hyperlink>
          </w:p>
        </w:tc>
      </w:tr>
      <w:tr>
        <w:trPr>
          <w:trHeight w:val="196"/>
        </w:trPr>
        <w:tc>
          <w:tcPr>
            <w:tcW w:w="760" w:type="dxa"/>
            <w:vAlign w:val="bottom"/>
          </w:tcPr>
          <w:p>
            <w:pPr>
              <w:spacing w:after="0"/>
              <w:rPr>
                <w:sz w:val="17"/>
                <w:szCs w:val="17"/>
                <w:color w:val="auto"/>
              </w:rPr>
            </w:pPr>
          </w:p>
        </w:tc>
        <w:tc>
          <w:tcPr>
            <w:tcW w:w="19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ended December 31, 2023)</w:t>
              </w:r>
            </w:hyperlink>
          </w:p>
        </w:tc>
        <w:tc>
          <w:tcPr>
            <w:tcW w:w="8520" w:type="dxa"/>
            <w:vAlign w:val="bottom"/>
            <w:gridSpan w:val="2"/>
          </w:tcPr>
          <w:p>
            <w:pPr>
              <w:spacing w:after="0"/>
              <w:rPr>
                <w:sz w:val="17"/>
                <w:szCs w:val="17"/>
                <w:color w:val="auto"/>
              </w:rPr>
            </w:pPr>
          </w:p>
        </w:tc>
      </w:tr>
    </w:tbl>
    <w:p>
      <w:pPr>
        <w:spacing w:after="0" w:line="225"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jc w:val="both"/>
        <w:ind w:left="500" w:hanging="492"/>
        <w:spacing w:after="0" w:line="255"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8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784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STRATA SKIN SCIENCES, INC.</w:t>
            </w:r>
          </w:p>
        </w:tc>
      </w:tr>
      <w:tr>
        <w:trPr>
          <w:trHeight w:val="45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2025</w:t>
            </w:r>
          </w:p>
        </w:tc>
        <w:tc>
          <w:tcPr>
            <w:tcW w:w="78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Dolev Rafaeli</w:t>
            </w:r>
          </w:p>
        </w:tc>
      </w:tr>
      <w:tr>
        <w:trPr>
          <w:trHeight w:val="198"/>
        </w:trPr>
        <w:tc>
          <w:tcPr>
            <w:tcW w:w="3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Dolev Rafaeli</w:t>
            </w:r>
          </w:p>
        </w:tc>
      </w:tr>
      <w:tr>
        <w:trPr>
          <w:trHeight w:val="234"/>
        </w:trPr>
        <w:tc>
          <w:tcPr>
            <w:tcW w:w="3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 officer)</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ectPr>
          <w:pgSz w:w="11900" w:h="16838" w:orient="portrait"/>
          <w:cols w:equalWidth="0" w:num="1">
            <w:col w:w="11240"/>
          </w:cols>
          <w:pgMar w:left="320" w:top="116" w:right="339" w:bottom="1440" w:gutter="0" w:footer="0" w:header="0"/>
        </w:sectPr>
      </w:pP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1"/>
                <w:szCs w:val="21"/>
                <w:color w:val="auto"/>
              </w:rPr>
            </w:pPr>
          </w:p>
        </w:tc>
        <w:tc>
          <w:tcPr>
            <w:tcW w:w="6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439"/>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Dolev Rafaeli</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Dolev Rafaeli</w:t>
            </w:r>
          </w:p>
        </w:tc>
        <w:tc>
          <w:tcPr>
            <w:tcW w:w="220" w:type="dxa"/>
            <w:vAlign w:val="bottom"/>
          </w:tcPr>
          <w:p>
            <w:pPr>
              <w:spacing w:after="0"/>
              <w:rPr>
                <w:sz w:val="20"/>
                <w:szCs w:val="20"/>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Director (</w:t>
            </w:r>
            <w:r>
              <w:rPr>
                <w:rFonts w:ascii="Times New Roman" w:cs="Times New Roman" w:eastAsia="Times New Roman" w:hAnsi="Times New Roman"/>
                <w:sz w:val="18"/>
                <w:szCs w:val="18"/>
                <w:i w:val="1"/>
                <w:iCs w:val="1"/>
                <w:color w:val="auto"/>
                <w:w w:val="99"/>
              </w:rPr>
              <w:t>Principal Executive Officer)</w:t>
            </w: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Gillings</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John Gillings</w:t>
            </w:r>
          </w:p>
        </w:tc>
        <w:tc>
          <w:tcPr>
            <w:tcW w:w="220" w:type="dxa"/>
            <w:vAlign w:val="bottom"/>
          </w:tcPr>
          <w:p>
            <w:pPr>
              <w:spacing w:after="0"/>
              <w:rPr>
                <w:sz w:val="20"/>
                <w:szCs w:val="20"/>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 Accounting Officer</w:t>
            </w:r>
            <w:r>
              <w:rPr>
                <w:rFonts w:ascii="Times New Roman" w:cs="Times New Roman" w:eastAsia="Times New Roman" w:hAnsi="Times New Roman"/>
                <w:sz w:val="18"/>
                <w:szCs w:val="18"/>
                <w:color w:val="auto"/>
              </w:rPr>
              <w:t>)</w:t>
            </w: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Uri Geiger</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Chairperson of the Board of Directors</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Uri Geiger</w:t>
            </w:r>
          </w:p>
        </w:tc>
        <w:tc>
          <w:tcPr>
            <w:tcW w:w="22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Samuel Rubinstein</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Samuel Rubinstein</w:t>
            </w:r>
          </w:p>
        </w:tc>
        <w:tc>
          <w:tcPr>
            <w:tcW w:w="22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Irit Yaniv</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Dr. Irit Yaniv</w:t>
            </w:r>
          </w:p>
        </w:tc>
        <w:tc>
          <w:tcPr>
            <w:tcW w:w="22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421"/>
        </w:trPr>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Christina Allgeier</w:t>
            </w:r>
          </w:p>
        </w:tc>
        <w:tc>
          <w:tcPr>
            <w:tcW w:w="220" w:type="dxa"/>
            <w:vAlign w:val="bottom"/>
          </w:tcPr>
          <w:p>
            <w:pPr>
              <w:spacing w:after="0"/>
              <w:rPr>
                <w:sz w:val="24"/>
                <w:szCs w:val="24"/>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Christina Allgeier</w:t>
            </w:r>
          </w:p>
        </w:tc>
        <w:tc>
          <w:tcPr>
            <w:tcW w:w="220" w:type="dxa"/>
            <w:vAlign w:val="bottom"/>
          </w:tcPr>
          <w:p>
            <w:pPr>
              <w:spacing w:after="0"/>
              <w:rPr>
                <w:sz w:val="20"/>
                <w:szCs w:val="20"/>
                <w:color w:val="auto"/>
              </w:rPr>
            </w:pPr>
          </w:p>
        </w:tc>
        <w:tc>
          <w:tcPr>
            <w:tcW w:w="6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19685</wp:posOffset>
            </wp:positionV>
            <wp:extent cx="105410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1054100" cy="1714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486" w:lineRule="exact"/>
        <w:rPr>
          <w:sz w:val="20"/>
          <w:szCs w:val="20"/>
          <w:color w:val="auto"/>
        </w:rPr>
      </w:pPr>
    </w:p>
    <w:p>
      <w:pPr>
        <w:sectPr>
          <w:pgSz w:w="11900" w:h="16838" w:orient="portrait"/>
          <w:cols w:equalWidth="0" w:num="2">
            <w:col w:w="9360" w:space="480"/>
            <w:col w:w="1400"/>
          </w:cols>
          <w:pgMar w:left="320" w:top="116" w:right="339" w:bottom="1440" w:gutter="0" w:footer="0" w:header="0"/>
          <w:type w:val="continuous"/>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0240" w:type="dxa"/>
            <w:vAlign w:val="bottom"/>
            <w:gridSpan w:val="8"/>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0" w:type="dxa"/>
            <w:vAlign w:val="bottom"/>
          </w:tcPr>
          <w:p>
            <w:pPr>
              <w:spacing w:after="0"/>
              <w:rPr>
                <w:sz w:val="13"/>
                <w:szCs w:val="13"/>
                <w:color w:val="auto"/>
              </w:rPr>
            </w:pPr>
          </w:p>
        </w:tc>
      </w:tr>
      <w:tr>
        <w:trPr>
          <w:trHeight w:val="412"/>
        </w:trPr>
        <w:tc>
          <w:tcPr>
            <w:tcW w:w="102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20" w:type="dxa"/>
            <w:vAlign w:val="bottom"/>
            <w:gridSpan w:val="2"/>
          </w:tcPr>
          <w:p>
            <w:pPr>
              <w:jc w:val="center"/>
              <w:ind w:right="3148"/>
              <w:spacing w:after="0"/>
              <w:rPr>
                <w:sz w:val="20"/>
                <w:szCs w:val="20"/>
                <w:color w:val="auto"/>
              </w:rPr>
            </w:pPr>
            <w:r>
              <w:rPr>
                <w:rFonts w:ascii="Times New Roman" w:cs="Times New Roman" w:eastAsia="Times New Roman" w:hAnsi="Times New Roman"/>
                <w:sz w:val="18"/>
                <w:szCs w:val="18"/>
                <w:b w:val="1"/>
                <w:bCs w:val="1"/>
                <w:color w:val="auto"/>
                <w:w w:val="99"/>
              </w:rPr>
              <w:t>STRATA SKIN SCIENCES, INC.</w:t>
            </w:r>
          </w:p>
        </w:tc>
        <w:tc>
          <w:tcPr>
            <w:tcW w:w="10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80" w:type="dxa"/>
            <w:vAlign w:val="bottom"/>
            <w:gridSpan w:val="3"/>
          </w:tcPr>
          <w:p>
            <w:pPr>
              <w:jc w:val="center"/>
              <w:ind w:right="2088"/>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0" w:type="dxa"/>
            <w:vAlign w:val="bottom"/>
          </w:tcPr>
          <w:p>
            <w:pPr>
              <w:spacing w:after="0"/>
              <w:rPr>
                <w:sz w:val="24"/>
                <w:szCs w:val="24"/>
                <w:color w:val="auto"/>
              </w:rPr>
            </w:pPr>
          </w:p>
        </w:tc>
      </w:tr>
      <w:tr>
        <w:trPr>
          <w:trHeight w:val="439"/>
        </w:trPr>
        <w:tc>
          <w:tcPr>
            <w:tcW w:w="10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84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10240" w:type="dxa"/>
            <w:vAlign w:val="bottom"/>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ID #688)</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175"/>
        </w:trPr>
        <w:tc>
          <w:tcPr>
            <w:tcW w:w="42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602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
        </w:trPr>
        <w:tc>
          <w:tcPr>
            <w:tcW w:w="102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73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176"/>
        </w:trPr>
        <w:tc>
          <w:tcPr>
            <w:tcW w:w="1024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591"/>
        </w:trPr>
        <w:tc>
          <w:tcPr>
            <w:tcW w:w="10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40" w:type="dxa"/>
            <w:vAlign w:val="bottom"/>
          </w:tcPr>
          <w:p>
            <w:pPr>
              <w:jc w:val="center"/>
              <w:ind w:right="3328"/>
              <w:spacing w:after="0"/>
              <w:rPr>
                <w:sz w:val="20"/>
                <w:szCs w:val="20"/>
                <w:color w:val="auto"/>
              </w:rPr>
            </w:pPr>
            <w:r>
              <w:rPr>
                <w:rFonts w:ascii="Times New Roman" w:cs="Times New Roman" w:eastAsia="Times New Roman" w:hAnsi="Times New Roman"/>
                <w:sz w:val="14"/>
                <w:szCs w:val="14"/>
                <w:color w:val="auto"/>
              </w:rPr>
              <w:t>F-1</w:t>
            </w:r>
          </w:p>
        </w:tc>
        <w:tc>
          <w:tcPr>
            <w:tcW w:w="100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STRATA Skin Sciences,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STRATA Skin Sciences, Inc. (the “Company”) as of December 31, 2024 and 2023, the related consolidated statements of operations, changes in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Sales and Use Tax Liabilities: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10 to the consolidated financial statements, the Company recognizes sales tax liabilities, including interest and penalties, for its domestic recurring revenue in those states which management determines are more-likely-than-not (“MLTN”) non-exempt from sales tax. Such amounts are accounted for as transaction tax liabilities that are extinguished upon payment or settlement. The Company recognizes use tax liabilities, including interest and penalties, for those states that management determines are MLTN to be exempt from sales tax obligations. The Company’s sales tax expense that is not presently being collected and remitted for its domestic recurring revenue are recorded as general and administrative expenses. The Company is undergoing sales tax audits in two state jurisdictions which are each in the process of appeal.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the accounting for sales and use tax liabilities as a critical audit matter due to the audit effort relating to the following:</w:t>
      </w:r>
    </w:p>
    <w:p>
      <w:pPr>
        <w:spacing w:after="0" w:line="225" w:lineRule="exact"/>
        <w:rPr>
          <w:sz w:val="20"/>
          <w:szCs w:val="20"/>
          <w:color w:val="auto"/>
        </w:rPr>
      </w:pPr>
    </w:p>
    <w:p>
      <w:pPr>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utilized specialists to assist in determining MLTN conclusions, and such analyses from prior years have also been updated in the current year by management and counsel.</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in the interpretation of relevant tax laws in various states requires significant management and auditor judgment.</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specialized skill and knowledge and consultation outside of the engagement team required to assess the appropriateness of management’s determinations.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audit procedures related to the Company's accounting for sales and use tax liabilities included the following:</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 related to accounting for sales and use tax liabilities for reasonableness.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our firm’s tax professionals and subject-matter-experts, with specialized skills and knowledge, who assisted in assessing the Company’s interpretation of the relevant tax laws and the MLTN conclusions.</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inspected correspondence and determinations from relevant state taxing authorities for those states undergoing sales tax audits.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underlying data of management’s calculations and analyzed the expiration of statutes of limitations and tax rates.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goodwill represents the excess of the purchase price over the fair value of the net tangible and identifiable intangible assets acquired and liabilities assumed in a business combination. Goodwill is tested for impairment at least annually at the reporting unit level. Management bypassed the qualitative impairment assessment (step zero) and performed a quantitative impairment assessment. The Company used a combination of the market and income approaches to determine the estimated fair value of its reporting units as of December 31,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identified the annual goodwill impairment test as a critical audit matter due to the audit effort relating to the following:</w:t>
      </w:r>
    </w:p>
    <w:p>
      <w:pPr>
        <w:spacing w:after="0" w:line="225" w:lineRule="exact"/>
        <w:rPr>
          <w:sz w:val="20"/>
          <w:szCs w:val="20"/>
          <w:color w:val="auto"/>
        </w:rPr>
      </w:pPr>
    </w:p>
    <w:p>
      <w:pPr>
        <w:jc w:val="both"/>
        <w:ind w:left="660" w:hanging="328"/>
        <w:spacing w:after="0" w:line="257"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fair value of the reporting unit requires management to make significant estimates and assumptions related to forecasted revenue growth rates, estimated expenses and discount rates. Such estimates and assumptions were challenging to test as they required forward looking assumptions with a high degree of subjectivity.</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specialized skill and knowledge and consultation outside of the engagement team required to assess the appropriateness of management’s valuation assumptions.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audit procedures related to the Company's goodwill impairment test included the following:</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 related to goodwill impairment for reasonableness.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and evaluated the reasonableness of management’s forecasts of future revenue and estimated expenses by comparing these forecasts to historical operating results of the Company by applying procedures to test the financial inputs used in the income approach, including sensitizing management’s cash flow forecasts.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our firm’s valuation professionals, with specialized skills and knowledge, who assisted in assessing assumptions utilized under the income and market approaches. Such assumptions that were evaluated included the discount rate, selected comparable companies, market multiples, residual growth rate, control premium and market capitalization reconciliation.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79"/>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STRATA Skin Sciences, Inc. and Subsidiary</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6,784</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w:t>
            </w: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$433 and $222 at December 31, 2024 and 2023,</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4,440</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2,673</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11,778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36,157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42,016</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3,343</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6,306</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revenues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15,044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 net of current portion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C convertible preferred stock, $0.10 par value; 10,000,000 shares authorized, no shares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4,171,161 and 3,506,025 shares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2024 and 2023,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253,112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250,742</w:t>
            </w:r>
          </w:p>
        </w:tc>
      </w:tr>
      <w:tr>
        <w:trPr>
          <w:trHeight w:val="223"/>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(248,144)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(238,058)</w:t>
            </w:r>
          </w:p>
        </w:tc>
      </w:tr>
      <w:tr>
        <w:trPr>
          <w:trHeight w:val="223"/>
        </w:trPr>
        <w:tc>
          <w:tcPr>
            <w:tcW w:w="868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STRATA Skin Sciences, Inc. and Subsidiary</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14,481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14,897</w:t>
            </w:r>
          </w:p>
        </w:tc>
      </w:tr>
      <w:tr>
        <w:trPr>
          <w:trHeight w:val="223"/>
        </w:trPr>
        <w:tc>
          <w:tcPr>
            <w:tcW w:w="8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19,081</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10,508</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2,284</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(9,255)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(8,604)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w:t>
            </w:r>
          </w:p>
        </w:tc>
        <w:tc>
          <w:tcPr>
            <w:tcW w:w="22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r>
      <w:tr>
        <w:trPr>
          <w:trHeight w:val="210"/>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3,807,186</w:t>
            </w: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3,491,964</w:t>
            </w:r>
          </w:p>
        </w:tc>
        <w:tc>
          <w:tcPr>
            <w:tcW w:w="100" w:type="dxa"/>
            <w:vAlign w:val="bottom"/>
            <w:tcBorders>
              <w:top w:val="single" w:sz="8" w:color="CCEEFF"/>
            </w:tcBorders>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4700" w:type="dxa"/>
            <w:vAlign w:val="bottom"/>
            <w:gridSpan w:val="10"/>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STRATA Skin Sciences, Inc. and Subsidiary</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300" w:type="dxa"/>
            <w:vAlign w:val="bottom"/>
            <w:gridSpan w:val="11"/>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32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Stockholders’</w:t>
            </w:r>
          </w:p>
        </w:tc>
      </w:tr>
      <w:tr>
        <w:trPr>
          <w:trHeight w:val="245"/>
        </w:trPr>
        <w:tc>
          <w:tcPr>
            <w:tcW w:w="10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0" w:type="dxa"/>
            <w:vAlign w:val="bottom"/>
          </w:tcPr>
          <w:p>
            <w:pPr>
              <w:spacing w:after="0"/>
              <w:rPr>
                <w:sz w:val="21"/>
                <w:szCs w:val="21"/>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tcPr>
          <w:p>
            <w:pPr>
              <w:spacing w:after="0"/>
              <w:rPr>
                <w:sz w:val="21"/>
                <w:szCs w:val="21"/>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7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3,472,246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249,056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(227,228)</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1,303</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w:t>
            </w: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restricted stock</w:t>
            </w:r>
          </w:p>
        </w:tc>
        <w:tc>
          <w:tcPr>
            <w:tcW w:w="2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33,779</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Modification of common stock warrants</w:t>
            </w:r>
          </w:p>
        </w:tc>
        <w:tc>
          <w:tcPr>
            <w:tcW w:w="7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(10,830)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(10,830)</w:t>
            </w:r>
          </w:p>
        </w:tc>
      </w:tr>
      <w:tr>
        <w:trPr>
          <w:trHeight w:val="27"/>
        </w:trPr>
        <w:tc>
          <w:tcPr>
            <w:tcW w:w="10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7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3,506,025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250,742</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(238,058)</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12,688</w:t>
            </w: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r>
      <w:tr>
        <w:trPr>
          <w:trHeight w:val="216"/>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 of common stock, net of offering costs</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665,136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1,943</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1,943</w:t>
            </w:r>
          </w:p>
        </w:tc>
      </w:tr>
      <w:tr>
        <w:trPr>
          <w:trHeight w:val="21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(10,086)</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(10,086)</w:t>
            </w:r>
          </w:p>
        </w:tc>
      </w:tr>
      <w:tr>
        <w:trPr>
          <w:trHeight w:val="27"/>
        </w:trPr>
        <w:tc>
          <w:tcPr>
            <w:tcW w:w="10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7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4,171,161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253,112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(248,144)</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4,972</w:t>
            </w:r>
          </w:p>
        </w:tc>
      </w:tr>
      <w:tr>
        <w:trPr>
          <w:trHeight w:val="20"/>
        </w:trPr>
        <w:tc>
          <w:tcPr>
            <w:tcW w:w="10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STRATA Skin Sciences, Inc. and Subsidiary</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(10,830)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5,553</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Impairment of goodwill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2,284</w:t>
            </w:r>
          </w:p>
        </w:tc>
      </w:tr>
      <w:tr>
        <w:trPr>
          <w:trHeight w:val="216"/>
        </w:trPr>
        <w:tc>
          <w:tcPr>
            <w:tcW w:w="8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debt discount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write-off</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r>
      <w:tr>
        <w:trPr>
          <w:trHeight w:val="223"/>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r>
      <w:tr>
        <w:trPr>
          <w:trHeight w:val="223"/>
        </w:trPr>
        <w:tc>
          <w:tcPr>
            <w:tcW w:w="8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(5,019)</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 of common stock, net of offering costs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6,795</w:t>
            </w: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1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00" w:type="dxa"/>
            <w:vAlign w:val="bottom"/>
            <w:shd w:val="clear" w:color="auto" w:fill="CCEEFF"/>
          </w:tcPr>
          <w:p>
            <w:pPr>
              <w:spacing w:after="0"/>
              <w:rPr>
                <w:sz w:val="22"/>
                <w:szCs w:val="22"/>
                <w:color w:val="auto"/>
              </w:rPr>
            </w:pPr>
          </w:p>
        </w:tc>
      </w:tr>
      <w:tr>
        <w:trPr>
          <w:trHeight w:val="209"/>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operating, investing and financing activities: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Modification of common stock warrants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0"/>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Transfer of property and equipment to inventories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top w:val="single" w:sz="8" w:color="CCEEFF"/>
            </w:tcBorders>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intangible assets and fair value of contingent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exit fee recorded as debt discount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payment of contingent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740" w:type="dxa"/>
            <w:vAlign w:val="bottom"/>
            <w:vMerge w:val="restart"/>
          </w:tcPr>
          <w:p>
            <w:pPr>
              <w:spacing w:after="0"/>
              <w:rPr>
                <w:sz w:val="15"/>
                <w:szCs w:val="15"/>
                <w:color w:val="auto"/>
              </w:rPr>
            </w:pPr>
          </w:p>
        </w:tc>
        <w:tc>
          <w:tcPr>
            <w:tcW w:w="41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2740" w:type="dxa"/>
            <w:vAlign w:val="bottom"/>
            <w:vMerge w:val="continue"/>
          </w:tcPr>
          <w:p>
            <w:pPr>
              <w:spacing w:after="0"/>
              <w:rPr>
                <w:sz w:val="3"/>
                <w:szCs w:val="3"/>
                <w:color w:val="auto"/>
              </w:rPr>
            </w:pPr>
          </w:p>
        </w:tc>
        <w:tc>
          <w:tcPr>
            <w:tcW w:w="41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1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r>
        <w:trPr>
          <w:trHeight w:val="391"/>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STRATA Skin Sciences, Inc. (the “Company”) is a medical technology company in dermatology dedicated to developing, commercializing and marketing innovative products for the treatment of dermatologic conditions. Its products include the XTRAC® and Pharos® excimer lasers and VTRAC® lamp systems utilized in the treatment of psoriasis, vitiligo and various other skin conditions. In January 2022, the Company acquired the TheraClear Acne Therapy System, or TheraClear device, to broaden its opportunities with expansion potential in the acne care market. The Company markets the device under the brand name TheraClear® 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Post-COVID-19 Pandemic</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March 2020, the global pandemic related to a new strain of coronavirus (“COVID-19”) has negatively impacted business conditions in the industry in which the Company operates, disrupted global supply chains, constrained workforce participation and created significant volatility and disruption of financial markets. The pandemic led to the suspension of elective procedures in the U.S. and to the temporary closure of many physician practices, which are the Company’s primary customers. While most physician offices have reopened, some of the Company’s partner physician practices closed permanently. Accordingly, the COVID-19 pandemic and its variants have negatively impacted the Company’s operational and financial performance, including its ability to execute its business strategies and initiatives in the expected time frames and those of its primary customers. It has also negatively impacted the Company’s supply chains and transport, customer behavior and staffing.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Russia-Ukraine War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outbreak of the Russia-Ukraine War, Ukraine was the largest exporter of noble gases including neon, krypton, and xenon and has historically been the source of a significant amount of gas supplied to the Company by its contract suppliers. Neon gas is essential to the proper functioning of the Company’s lasers. The Company’s suppliers have been resourceful in continuing to supply gases to the Company but cannot assure the Company that the supply will remain uninterrupted. The reduced supply and ongoing conflict have also impacted the price of gas worldwide. Additionally, the Creating Helpful Incentives to Produce Semiconductors and Science Act of 2022 has led to a further tightening of rare gas supplies as semiconductor chip manufacturers reconfigure their supply chains to address the need to secure their own supplies of rare gases for use in the manufacture of computer chips.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Middle East Conflict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not seen an impact on its distributors’ businesses in the Middle East due to the Middle East conflict, but cannot predict the impact should the conflict continue or develop into a larger war.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been negatively impacted by the COVID-19 pandemic, has historically experienced recurring losses, has been dependent on raising capital from the sale of securities in order to continue to operate and has been required to restrict cash for sales tax liabilities (see Note 10). In October 2021, the Company entered into an equity distribution agreement with an investment bank under which the Company may sell up to an additional $8.9 million of its common stock in registered “at-the-market” offerings. Management believes that the Company’s cash and cash equivalents, combined with the anticipated revenues from the sale or use of its products and operating expense management, will be sufficient to satisfy the Company’s working capital needs, capital asset purchases, outstanding commitments and other liquidity requirements associated with its existing operations for at least the next 12 months following the date of the issuance of these consolidated financial statements. However, market conditions, including the negative impact of the COVID-19 pandemic, the Russia-Ukraine War, and the Middle East conflict on the financial markets, supply chain disruptions, customer behavior, and rising interest rates, could interfere with the Company’s ability to access financing and on favorable terms.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5680" w:firstLine="8"/>
        <w:spacing w:after="0" w:line="500" w:lineRule="auto"/>
        <w:tabs>
          <w:tab w:leader="none" w:pos="1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Basis of Presentation: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U.S. dollars and have been prepared in conformity with accounting principles generally accepted in the United States of America (“GAAP”). Any reference in these notes to applicable guidance is meant to refer to the authoritative GAAP as found in the Accounting Standards Codification (“ASC”) and as amended by Accounting Standards Updates (“ASUs”) of the Financial Accounting Standards Board (“FASB”). The accompanying consolidated financial statements include the accounts of the Company and Photomedex India Private Limited, its wholly-owned subsidiary in India. No operating activities have occurred within the Company’s subsidiary as of and during the years ended December 31,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26, 2023, the stockholders of the Company authorized the Board of Directors to effect a reverse stock split of all outstanding shares of common stock. On April 26, 2024, the Board of Directors approved the implementation of a reverse stock split at a ratio of one-for-ten shares, which became effective on June 6, 2024. The Company’s outstanding stock-based awards, including options, restricted stock units and warrants, were also adjusted to reflect the one-for-ten reverse stock split of the Company’s common stock. Outstanding stock-based award units were proportionately reduced and the respective exercise prices, if applicable, were proportionately increased. The reverse stock split affected all stockholders uniformly and did not alter any stockholder’s percentage interest in the Company’s equity. No fractional shares were issued in connection with the reverse stock split. Stockholders who would otherwise be entitled to a fractional share of common stock were instead entitled to receive a proportional cash payment. The reverse stock split did not change the par value or authorized number of shares of common stock. All share and per share amounts in these consolidated financial statements and related notes hereto have been retroactively adjusted to account for the effect of the reverse stock split.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The Company’s significant estimates and judgments include revenue recognition with respect to deferred revenues and the contract term and valuation allowances of accounts receivable, inputs used when evaluating goodwill for impairment, inputs used in the valuation of contingent consideration, state sales and use tax accruals, the estimated useful lives of intangible assets, and the valuation allowance related to deferred tax assets.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Major Customers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cash is held on deposit in demand accounts at a large financial institution in amounts in excess of the Federal Deposit Insurance Corporation (“FDIC”) insurance coverage limit of $0.3 million per depositor, per FDIC-insured bank, per ownership category. Management has reviewed the financial statements of this institution and believes it has sufficient assets and liquidity to conduct its operations in the ordinary course of business with little credit risk to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principally consist of cash equivalents and accounts receivable. The Company limits its credit risk associated with cash equivalents by placing investments in highly-rated money market funds. The Company limits its credit risk with respect to accounts receivable by performing credit evaluations when deemed necessary, but it does not require collateral to secure amounts owed by its customers.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had one customer, an international distributor, from which it primarily earns dermatology procedures equipment revenues, that accounted for 10% or more of the Company’s revenues for each of the years ended December 31, 2024 and 2023. Revenues from this customer were $4.1 million and $3.3 million, or 12.1% and 10.0%, of total net revenues during the years ended December 31, 2024 and 2023, respectively. There were no accounts receivable associated with this customer as of December 31, 2024 and 2023. Accounts receivable associated with two other customers as of December 31, 2024 and one other customer as of December 31, 2023, each of which accounted for 10% or more of the Company’s net accounts receivable, was $2.2 million and $0.7 million, or 42.2% and 16.5%, of net accounts receivable as of December 31,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considers all highly-liquid investments purchased with an original maturity of three months or less to be cash equivalents. As of December 31, 2024 and 2023, cash equivalents consisted of credit card transactions with settlement terms of less than five days.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more fully in Note 10, the Company was required to post an appellate bond for $1.3 million in the form of cash collateral with respect to a sales tax determination by the State of New York Tax Appeals Tribunal (“Tribunal”). As the result of an adverse decision received by the Company in October 2024, the State of New York will execute on the appellate bond.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cash collateral is recorded as restricted cash on the consolidated balance sheets as of December 31, 2024 and 2023. The following table provides a reconciliation of the components of cash, cash equivalents and restricted cash reported in the Company’s consolidated balance sheets to the total of the amount presented in the consolidated statements of cash flows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6,784</w:t>
            </w: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Pr>
          <w:p>
            <w:pPr>
              <w:spacing w:after="0"/>
              <w:rPr>
                <w:sz w:val="21"/>
                <w:szCs w:val="21"/>
                <w:color w:val="auto"/>
              </w:rPr>
            </w:pPr>
          </w:p>
        </w:tc>
      </w:tr>
      <w:tr>
        <w:trPr>
          <w:trHeight w:val="283"/>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 presented in the consolidated statements of cash flows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Accounts receivable primarily relates to amounts due from customers, which are typically due within 30 to 90 days from invoice date. The Company provides credit to its customers in the normal course of business and maintains allowances for expected credit losses over the remaining contractual lives of its receivables, considering customer financial condition, historical loss experience with customers, current market economic conditions and forecasts of future economic conditions when appropriate. The Company does not require collateral or other security for accounts receivable. The Company also maintains allowances for estimated losses resulting from amounts deemed to be uncollectible from its customers. These allowances are for specific amounts on certain customer accounts based on facts and circumstances determined on a case-by-case basis. The Company writes off accounts receivable when they are considered uncollectible, and payments subsequently received on such receivables are credited to bad debt expense. The Company does not recognize interest accruing on accounts receivable past due.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based on purchased cost for raw materials and all production cost related to the laser manufacturing process (labor and indirect manufacturing cost, including sub-contracted work components) for work-in-process and finished goods is classified as inventory. For the Company’s products, cost is determined on the first-in, first-out method. Work-in-process is immaterial, given the typically short manufacturing cycle and therefore, is disclosed in conjunction with raw materials.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equipment for the treatment of skin disorders (e.g. the XTRAC) will either (i) be placed in a physician’s office and remain the property of the Company (at which date such equipment is transferred to property and equipment) or (ii) be sold to distributors or physicians directly. The cost to build a laser for sale is accumulated in inventory, and the cost to build a laser for placement is accumulated in property and equipment.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Reserves for slow-moving and obsolete inventories are provided based on historical experience and product demand. Management evaluates the adequacy of these reserves periodically based on forecasted sales and market trends.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amortization. Maintenance and repairs are charged to expense as incurred and costs of improvements and renewals are capitalized. Upon retirement or disposition, the applicable property and equipment amounts are deducted from the accounts and any gain or loss is recorded in the consolidated statements of operations. Depreciation and amortization are recognized using the straight-line method based on the estimated useful lives of the related assets. The Company uses an estimated useful life of three years for computers, hardware and software, five years for machinery and equipment, seven years for furniture and fixtures, and the lesser of the useful life or lease term for leasehold improvements.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Intangible assets consist of core technology, product technology, customer relationships, trademarks and distribution rights. Intangible assets are amortized over the period of estimated benefit using the straight-line method and estimated useful lives ranging from three to 12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is the excess of the cost of an acquired entity over the net amounts assigned to tangible and intangible assets acquired and liabilities assumed. Goodwill is not amortized, but is subject to an annual impairment test. The Company has two reporting units and goodwill is allocated to the reporting units (see Note 14).</w:t>
      </w:r>
    </w:p>
    <w:p>
      <w:pPr>
        <w:spacing w:after="0" w:line="176" w:lineRule="exact"/>
        <w:rPr>
          <w:sz w:val="20"/>
          <w:szCs w:val="20"/>
          <w:color w:val="auto"/>
        </w:rPr>
      </w:pPr>
    </w:p>
    <w:p>
      <w:pPr>
        <w:jc w:val="both"/>
        <w:ind w:firstLine="738"/>
        <w:spacing w:after="0" w:line="252" w:lineRule="auto"/>
        <w:rPr>
          <w:sz w:val="20"/>
          <w:szCs w:val="20"/>
          <w:color w:val="auto"/>
        </w:rPr>
      </w:pPr>
      <w:r>
        <w:rPr>
          <w:rFonts w:ascii="Times New Roman" w:cs="Times New Roman" w:eastAsia="Times New Roman" w:hAnsi="Times New Roman"/>
          <w:sz w:val="18"/>
          <w:szCs w:val="18"/>
          <w:color w:val="auto"/>
        </w:rPr>
        <w:t>The Company performs its goodwill impairment test on an annual basis in the fourth quarter of each fiscal year or more frequently if changes in circumstances or the occurrence of events suggest that an impairment exists. If the fair value of the reporting unit is less than its carrying value, an impairment loss is recorded for the amount by which the carrying amount of the reporting unit, including goodwill, exceeds its fair value, limited to the total amount of goodwill allocated to that reporting unit. In conjunction with the annual budgeting process during the fourth quarter of 2023 and using data collected since the official launch of the TheraClear devices, the Company reduced its projected earnings from TheraClear devices. Similarly, in conjunction with the annual budgeting process during the fourth quarter of 2024, the Company reduced its overall projected earnings. As a result, the Company bypassed the qualitative assessments of goodwill impairment and performed quantitative assessments by comparing the fair value of each reporting unit with its carrying amount. The Company recorded impairment charges of $3.9 million and $2.3 million related to goodwill during the years ended December 31, 2024 and 2023, respectively, which was the amount of the excess of the carrying value of the dermatology recurring procedures reporting unit over its fair value. The impairments were primarily driven by a decline in projected cash flows, including revenues and profitability. The fair values of the reporting units were determined using both a market and income approach, with the market approach given a 25% weighting and the income approach given a 75% weighting. Significant assumptions used in the income approach include growth and discount rates, profit margins and the Company’s weighted average cost of capital. Historical performance and management estimates of future performance were used to determine profit margins and growth rates.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impairment charges are included in impairment of goodwill within the consolidated statements of operations for the years ended December 31, 2024 and 2023. The dermatology procedures equipment reporting unit was not identified as having impairment for the years ended December 31, 2024 and 2023.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080" w:type="dxa"/>
            <w:vAlign w:val="bottom"/>
            <w:vMerge w:val="restart"/>
          </w:tcPr>
          <w:p>
            <w:pPr>
              <w:spacing w:after="0"/>
              <w:rPr>
                <w:sz w:val="15"/>
                <w:szCs w:val="15"/>
                <w:color w:val="auto"/>
              </w:rPr>
            </w:pPr>
          </w:p>
        </w:tc>
        <w:tc>
          <w:tcPr>
            <w:tcW w:w="37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3080" w:type="dxa"/>
            <w:vAlign w:val="bottom"/>
            <w:vMerge w:val="continue"/>
          </w:tcPr>
          <w:p>
            <w:pPr>
              <w:spacing w:after="0"/>
              <w:rPr>
                <w:sz w:val="3"/>
                <w:szCs w:val="3"/>
                <w:color w:val="auto"/>
              </w:rPr>
            </w:pPr>
          </w:p>
        </w:tc>
        <w:tc>
          <w:tcPr>
            <w:tcW w:w="3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7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r>
        <w:trPr>
          <w:trHeight w:val="392"/>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Intangibles</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its long-lived assets and intangible assets subject to amortization for impairment whenever events or changes in circumstances indicate the carrying amount of an asset group may not be recoverable. Recoverability of assets held and used is measured by comparison of the carrying amount of an asset group to future net cash flows expected to be generated by the asset group. If such assets are considered to be impaired, the impairment to be recognized is measured by the amount by which the carrying amount of the asset group exceeds the fair value of the asset group, less costs to sell. The Company did not record any charges related to asset impairment during the years ended December 31, 2024 and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financial assets and liabilities at fair value at each reporting period using a fair value hierarchy that requires the use of observable inputs and minimizes the use of unobservable inputs. The Company defines fair value as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83"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that are generally unobservable and typically reflect the Company’s estimate of assumptions that market participants would use in pricing the asset or liability.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Warranty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offers a standard warranty on product sales generally for a one to two-year period, however, the Company has offered longer warranty periods, ranging from three to four years, in order to meet competition or customer demands. The Company provides for the estimated cost of the future warranty claims on the date the product is sold.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activity in the warranty accrual during the years ended December 31, 2024 and 2023 is summarized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1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78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303</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156</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Expirations and claims satisfied</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(144)</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315</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within accrued expenses and other current liabilities</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7"/>
              </w:rPr>
              <w:t>(213)</w:t>
            </w:r>
          </w:p>
        </w:tc>
        <w:tc>
          <w:tcPr>
            <w:tcW w:w="7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Balance within deferred revenues and other liabilities</w:t>
            </w:r>
          </w:p>
        </w:tc>
        <w:tc>
          <w:tcPr>
            <w:tcW w:w="7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capitalizes direct costs incurred to obtain debt financing and amortizes these costs to interest expense over the term of the debt using the effective interest method. These costs are recorded as a debt discount and are netted against the related debt on the Company’s consolidated balance sheets.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00" w:type="dxa"/>
            <w:vAlign w:val="bottom"/>
            <w:vMerge w:val="restart"/>
          </w:tcPr>
          <w:p>
            <w:pPr>
              <w:spacing w:after="0"/>
              <w:rPr>
                <w:sz w:val="15"/>
                <w:szCs w:val="15"/>
                <w:color w:val="auto"/>
              </w:rPr>
            </w:pPr>
          </w:p>
        </w:tc>
        <w:tc>
          <w:tcPr>
            <w:tcW w:w="466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2200" w:type="dxa"/>
            <w:vAlign w:val="bottom"/>
            <w:vMerge w:val="continue"/>
          </w:tcPr>
          <w:p>
            <w:pPr>
              <w:spacing w:after="0"/>
              <w:rPr>
                <w:sz w:val="3"/>
                <w:szCs w:val="3"/>
                <w:color w:val="auto"/>
              </w:rPr>
            </w:pPr>
          </w:p>
        </w:tc>
        <w:tc>
          <w:tcPr>
            <w:tcW w:w="4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66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tc>
        <w:tc>
          <w:tcPr>
            <w:tcW w:w="4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January 2022, the Company acquired certain assets related to the TheraClear devices from Theravant Corporation (“Theravant”). Theravant is eligible to receive future earnout payments upon the achievement of certain net revenue, gross profit and commercialization milestones (see Note 10). Due to uncertainties associated with the development of a new product line and the use of estimates and assumptions to determine the fair value of the contingent consideration, the amount ultimately paid in connection with the earnout may differ from the estimated fair value at the acquisition date. As the transaction was accounted for as an asset acquisition, a revaluation of the contingent consideration would only be required if there is a significant change to the underlying valuation assumptions. The contingent consideration will be adjusted when the contingency is resolved and the consideration is paid or becomes payable. Any difference between the cash payment and the amount accrued for contingent consideration will result in an adjustment to the technology intangible asset. Contingent consideration expected to be paid within the next year is classified as current on the consolidated balance sheet.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2023, the Company revised its projections of expected revenues and gross profits to be earned from TheraClear devices. The change in projections was considered significant enough to warrant a revaluation of the contingent consideration. To calculate the fair value of the earnout at December 31, 2023, using Monte Carlo simulations, Company projections were utilized to develop expected revenues and gross profits based on the risk inherent in the projections using the Geometric-Brownian motion for the earnout periods and related earnout payments. Significant assumptions used in the Geometric-Brownian motion analysis include projected revenues, projected gross profit, risk free rate of return of 3.8%, revenue volatility of 15.0%, and a cost of equity of 10.0%. The fair value of the contingent consideration as of December 31, 2023 was estimated to be $1.2 million, which resulted in a reduction in contingent consideration of $7.4 million with a corresponding adjustment to the carrying value of the product technology intangible asset. During 2024, there were no further significant changes to the Company’s projections of expected revenues and gross profits to be earned from TheraClear devices and, as such, the Company did not revalue the contingent consideration.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Revenues from the Company’s dermatology recurring procedures customers are earned by providing physicians with its laser products and charging the physicians a fee for a fixed number of treatment sessions or a fixed fee for a specified period of time not to exceed an agreed upon number of treatments; if that number is exceeded additional fees will have to be paid. The placement of the laser products at physician locations represents embedded leases which are accounted for as operating leases. For the lasers placed-in service under these arrangements, the terms of the domestic arrangements are generally 36 months with automatic one-year renewals and include a termination clause that can be effected at any time by either party with 30 to 60 day notice. Amounts paid are generally non-refundable. Sales of access codes for a fixed number of treatment sessions are considered variable treatment code payments and are recognized as revenue over the estimated usage period of the agreed upon number of treatments. Sales of access codes for a specified period of time are recognized as revenue on a straight-line basis as the lasers are being used over the term specified in the agreement. Variable treatment code payments that will be paid only if the customer exceeds the agreed upon number of treatments are recognized only when such treatments are being exceeded and used. Internationally, the Company generally sells access codes for a fixed amount on a monthly basis to its distributors and the terms are generally 48 months, with termination in the event of the customers’ failure to remit payments timely, and include a potential buy-out at the end of the term of the contract. Currently, this is the only foreign recurring revenue. Prepaid amounts recorded in deferred revenue and customer deposits recorded in accounts payable are recognized as revenue over the lease term in the patterns described above. Pricing is fixed with the customer. With respect to lease and non-lease components, the Company adopted the practical expedient to account for the arrangement as a single lease component.</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from the Company’s dermatology procedures equipment are recognized when control of the promised goods or services is transferred to its customers or distributors, in an amount that reflects the consideration to which it expects to be entitled in exchange for those goods or services. Accordingly, the Company determines revenue recognition through the following steps:</w:t>
      </w:r>
    </w:p>
    <w:p>
      <w:pPr>
        <w:spacing w:after="0" w:line="176"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performance obligations are satisfied.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Accounting for the Company’s contracts involves the use of significant judgments and estimates including determining the separate performance obligations, allocating the transaction price to the different performance obligations and determining the method to measure the entity’s performance toward satisfaction of performance obligations that most faithfully depicts when control is transferred to the customer. The Company allocates the contract’s transaction price to each performance obligation using the Company’s best estimate of the standalone selling price for each distinct good or service in the contract. The Company maximizes the use of observable inputs by beginning with average historical contractual selling prices and adjusting as necessary and on a consistent and rational basis for other inputs such as pricing trends, customer types, volumes and changing cost and margins.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Revenues from dermatology procedures equipment are recognized when control of the promised products is transferred to either the Company’s distributors or end-user customers, in an amount that reflects the consideration the Company expects to be entitled to in exchange for those products (the transaction price). Control transfers to the customer at a point in time. To indicate the transfer of control, the Company must have a present right to payment and legal title must have passed to the customer. The Company ships most of its products FOB shipping point, and as such, the Company primarily transfers control and records revenue upon shipment. From time to time the Company will grant certain customers, for example governmental customers, FOB destination terms, and the transfer of control for revenue recognition occurs upon receipt. The Company has elected to recognize the cost of freight and shipping activities as fulfillment costs. Amounts billed to customers for shipping and handling are included as part of the transaction price and recognized as revenue when control of the underlying goods are transferred to the customer. The related shipping and freight charges incurred by the Company are included in cost of revenues.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net revenues disaggregated by dermatology recurring procedures and dermatology procedures equipment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Dermatology recurring procedures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Dermatology procedures equipment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11,828</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expected future undiscounted fixed treatment code payments from international dermatology recurring procedures, the Company’s only long-term arrangements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jc w:val="right"/>
              <w:ind w:right="7810"/>
              <w:spacing w:after="0"/>
              <w:rPr>
                <w:sz w:val="20"/>
                <w:szCs w:val="20"/>
                <w:color w:val="auto"/>
              </w:rPr>
            </w:pPr>
            <w:r>
              <w:rPr>
                <w:rFonts w:ascii="Times New Roman" w:cs="Times New Roman" w:eastAsia="Times New Roman" w:hAnsi="Times New Roman"/>
                <w:sz w:val="18"/>
                <w:szCs w:val="18"/>
                <w:b w:val="1"/>
                <w:bCs w:val="1"/>
                <w:color w:val="auto"/>
                <w:w w:val="98"/>
              </w:rPr>
              <w:t>Years ending December 31:</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jc w:val="right"/>
              <w:ind w:right="941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jc w:val="right"/>
              <w:ind w:right="941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jc w:val="right"/>
              <w:ind w:right="941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jc w:val="right"/>
              <w:ind w:right="941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56"/>
        </w:trPr>
        <w:tc>
          <w:tcPr>
            <w:tcW w:w="10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related to ASC 606 represent the aggregate transaction price allocated to performance obligations with an original contract term greater than one year, which are fully or partially unsatisfied at the end of the period. Remaining performance obligations include the potential obligation to perform under extended warranties and service contracts but exclude any dermatology procedures equipment accounted for as leases. As of December 31, 2024 and 2023, the aggregate amount of the transaction price allocated to remaining performance obligations was $0.5 million and $0.7 million, respectively, and the Company expects to recognize $0.2 million and $0.3 million, respectively, of the remaining performance obligations within one year and the remainder over one to three years. Contract assets primarily relate to the Company’s rights to consideration for work completed in relation to its services performed but not billed at the reporting date. The contract assets are transferred to receivables when the rights become unconditional. Currently, the Company does not have any contract assets which have not transferred to a receivable.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Contract liabilities primarily relate to extended warranties and service contracts where the Company has received payments but has not yet satisfied the related performance obligations. The allocations of the transaction price are based on the price of standalone warranty contracts sold in the ordinary course of business. The advance consideration received from customers for the warranty services is a contract liability that is recognized ratably over the warranty period. As of December 31, 2024 and 2023, the $0.2 million and $0.3 million of short-term contract liabilities, respectively, is presented as deferred revenues and the $0.3 million and $0.4 million of long-term contract liabilities, respectively, is presented within deferred revenues and other liabilities on the consolidated balance sheets. For the years ended December 31, 2024 and 2023, the Company recognized $0.3 million and $0.4 million, respectively, as revenue from amounts classified as contract liabilities (i.e. deferred revenues) as of December 31, 2023 and 2022.</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contract acquisition costs, the Company applies the practical expedient and expenses these costs immediately.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Engineering and Product Development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Engineering and product development costs associated with research, new product development and product redesign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included in selling and marketing expenses within the Company’s consolidated statements of operations. The Company recognized advertising costs of $1.0 million and $0.5 million during the years ended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measures share-based awards at their grant-date fair value and records compensation expense on a straight-line basis over the requisite service period of the awards.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Estimating the fair value of share-based awards requires the input of subjective assumptions, including the expected life of the options and stock price volatility. The Company accounts for forfeitures of stock option awards as they occur. The estimated fair value of restricted stock awards is equal to the Company’s common stock price at the grant date. The Company uses the Black-Scholes option pricing model to value its stock option awards. The assumptions used in estimating the fair value of stock-option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tax assets and liabilities are determined based on differences between the financial reporting and tax basis of assets and liabilities, as well as on net operating loss carryforwards, and are measured using enacted tax rates and laws that are expected to be in effect when the differences reverse. Any resulting net deferred tax assets are evaluated for recoverability and, accordingly, a valuation allowance is provided when it is not more likely than not that all or some portion of the deferred tax asset will be realized.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recognizes the tax effects of uncertain tax positions only if the position is “more-likely-than-not” to be sustained were it to be challenged by a taxing authority. The assessment of the tax position is based solely on the technical merits of the position, without regard to the likelihood that the tax position may be challenged. If an uncertain tax position meets the “more-likely-than-not” threshold, the largest amount of tax benefit that is more than 50% likely to be recognized upon ultimate settlement with the taxing authority is recorded. The Company has no uncertain tax positions as of December 31, 2024. The Company includes interest and penalties related to income tax obligations within income tax expense. The Company’s tax years are still under open status from 2021 to present.</w:t>
      </w:r>
    </w:p>
    <w:p>
      <w:pPr>
        <w:spacing w:after="0" w:line="37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40" w:type="dxa"/>
            <w:vAlign w:val="bottom"/>
            <w:vMerge w:val="restart"/>
          </w:tcPr>
          <w:p>
            <w:pPr>
              <w:spacing w:after="0"/>
              <w:rPr>
                <w:sz w:val="15"/>
                <w:szCs w:val="15"/>
                <w:color w:val="auto"/>
              </w:rPr>
            </w:pPr>
          </w:p>
        </w:tc>
        <w:tc>
          <w:tcPr>
            <w:tcW w:w="4620" w:type="dxa"/>
            <w:vAlign w:val="bottom"/>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46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r>
        <w:trPr>
          <w:trHeight w:val="392"/>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 Credit</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Employee Retention Credit (“ERC”) under the Coronavirus Aid, Relief, and Economic Security Act (“CARES Act”) is a refundable tax credit which encouraged businesses to keep employees on the payroll during the COVID-19 pandemic. Eligible employers could qualify for up to $7.0 thousand of credit for each employee based on qualified wages paid after December 31, 2020 and before January 1, 2022. Qualified wages are any wages paid to an employee (for employers that averaged fewer than 100 full-time employees in 2019) or the wages paid to an employee for the time that the employee is providing and not providing services (for employers that averaged more than 500 full-time employees in 2019) due to an economic hardship, specifically, either (1) a full or partial suspension of operations by order of a governmental authority due to COVID-19, or (2) a significant decline in gross receipts. The Company recognized $0.9 million of ERC as other income in the consolidated statement of operations for the year ended December 31, 2024. There was no such activity for the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attributable to common stockholders by the weighted-average number of shares of common stock outstanding during each period. Diluted loss per share of common stock includes the effect, if any, from the potential exercise or conversion of securities such as unvested restricted stock awards, stock options and warrants for common stock which would result in the issuance of incremental shares of common stock. For diluted net loss per share, the weighted-average number of shares of common stock is the same as for basic net loss per share due to the fact that when a net loss exists, dilutive securities are not included in the calculation as the impact is anti-dilutive.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8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37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9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521,726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772,864</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6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49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2,265</w:t>
            </w:r>
          </w:p>
        </w:tc>
      </w:tr>
      <w:tr>
        <w:trPr>
          <w:trHeight w:val="27"/>
        </w:trPr>
        <w:tc>
          <w:tcPr>
            <w:tcW w:w="378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7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603,991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855,129</w:t>
            </w:r>
          </w:p>
        </w:tc>
      </w:tr>
      <w:tr>
        <w:trPr>
          <w:trHeight w:val="20"/>
        </w:trPr>
        <w:tc>
          <w:tcPr>
            <w:tcW w:w="37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8"/>
        </w:trPr>
        <w:tc>
          <w:tcPr>
            <w:tcW w:w="3780" w:type="dxa"/>
            <w:vAlign w:val="bottom"/>
          </w:tcPr>
          <w:p>
            <w:pPr>
              <w:spacing w:after="0"/>
              <w:rPr>
                <w:sz w:val="24"/>
                <w:szCs w:val="24"/>
                <w:color w:val="auto"/>
              </w:rPr>
            </w:pPr>
          </w:p>
        </w:tc>
        <w:tc>
          <w:tcPr>
            <w:tcW w:w="6240" w:type="dxa"/>
            <w:vAlign w:val="bottom"/>
            <w:gridSpan w:val="3"/>
          </w:tcPr>
          <w:p>
            <w:pPr>
              <w:jc w:val="right"/>
              <w:ind w:right="3940"/>
              <w:spacing w:after="0"/>
              <w:rPr>
                <w:sz w:val="20"/>
                <w:szCs w:val="20"/>
                <w:color w:val="auto"/>
              </w:rPr>
            </w:pPr>
            <w:r>
              <w:rPr>
                <w:rFonts w:ascii="Times New Roman" w:cs="Times New Roman" w:eastAsia="Times New Roman" w:hAnsi="Times New Roman"/>
                <w:sz w:val="14"/>
                <w:szCs w:val="14"/>
                <w:color w:val="auto"/>
              </w:rPr>
              <w:t>F-16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78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94"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980" w:type="dxa"/>
            <w:vAlign w:val="bottom"/>
            <w:vMerge w:val="restart"/>
          </w:tcPr>
          <w:p>
            <w:pPr>
              <w:spacing w:after="0"/>
              <w:rPr>
                <w:sz w:val="15"/>
                <w:szCs w:val="15"/>
                <w:color w:val="auto"/>
              </w:rPr>
            </w:pPr>
          </w:p>
        </w:tc>
        <w:tc>
          <w:tcPr>
            <w:tcW w:w="38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2980" w:type="dxa"/>
            <w:vAlign w:val="bottom"/>
            <w:vMerge w:val="continue"/>
          </w:tcPr>
          <w:p>
            <w:pPr>
              <w:spacing w:after="0"/>
              <w:rPr>
                <w:sz w:val="3"/>
                <w:szCs w:val="3"/>
                <w:color w:val="auto"/>
              </w:rPr>
            </w:pPr>
          </w:p>
        </w:tc>
        <w:tc>
          <w:tcPr>
            <w:tcW w:w="3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8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r>
        <w:trPr>
          <w:trHeight w:val="39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Recently Adopted</w:t>
            </w:r>
          </w:p>
        </w:tc>
        <w:tc>
          <w:tcPr>
            <w:tcW w:w="3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 with Conversion and Other Options (Subtopic 470-20) and 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The pronouncement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the accounting for certain financial instruments with characteristics of liabilities and equity, including convertible instruments and contracts in an entity’s own equity. Specifically, the ASU simplifies accounting for convertible instruments by removing major separation models required under current GAAP. In addition, the ASU removes certain settlement conditions that are required for equity contracts to qualify for it and simplifies the diluted earnings per share (EPS) calculations in certain areas. The guidance is effective for annual periods, including interim periods, beginning after December 15, 2023 with early adoption permitted. The adoption of this guidance on January 1, 2024 did not have an impact on the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primarily requires enhanced disclosures about significant segment expenses and information used to assess segment performance and enhanced disclosures in interim periods. The guidance in this ASU was effective for fiscal years beginning after December 15, 2023 and interim reporting periods in fiscal years beginning after December 15, 2024. The Company adopted the guidance in ASU 2023-07 for the year ended December 31, 2024, and it is being applied retrospectively to its consolidated financial statement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is intended to improve income tax disclosure requirements by requiring (1) consistent categories and greater disaggregation of information in the rate reconciliation and</w:t>
      </w:r>
    </w:p>
    <w:p>
      <w:pPr>
        <w:jc w:val="both"/>
        <w:ind w:firstLine="8"/>
        <w:spacing w:after="0" w:line="253" w:lineRule="auto"/>
        <w:tabs>
          <w:tab w:leader="none" w:pos="2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disaggregation of income taxes paid by jurisdiction. The guidance makes several other changes to the income tax disclosure requirements. The guidance in this ASU is effective for annual periods beginning after December 15, 2024. Early adoption is permitted for annual financial statements that have not yet been issued or made available for issuance. The Company is currently evaluating the effect this ASU will have on its consolidated financial statements and footnote disclosures.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 subsequently amended by ASU 2025-01 to clarify the effective date,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provide more detailed information about specified categories of expenses (purchases of inventory, employee compensation, depreciation and amortization) included in certain expense captions presented on the consolidated statement of operations. The guidance in this ASU is effective for fiscal years beginning after December 15, 2026, and interim periods within fiscal years beginning after December 15, 2027. Early adoption is permitted. The amendments may be applied either (1) prospectively to financial statements issued for periods after the effective date of this ASU or (2) retrospectively to all prior periods presented in the consolidated financial statements. The Company is currently evaluating the effect this ASU will have on its consolidated financial statements and footnote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values of cash equivalents, restricted cash, accounts receivable, prepaid expenses and other current assets, and accounts payable on the Company’s consolidated balance sheets approximated their fair values as of December 31, 2024 and 2023 due to their short-term nature. The carrying value of the Company’s Senior Term Facility (see Note 9) approximated its fair value as of December 31, 2024 and 2023 due to its variable interest rate.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240" w:type="dxa"/>
            <w:vAlign w:val="bottom"/>
            <w:vMerge w:val="restart"/>
          </w:tcPr>
          <w:p>
            <w:pPr>
              <w:spacing w:after="0"/>
              <w:rPr>
                <w:sz w:val="15"/>
                <w:szCs w:val="15"/>
                <w:color w:val="auto"/>
              </w:rPr>
            </w:pPr>
          </w:p>
        </w:tc>
        <w:tc>
          <w:tcPr>
            <w:tcW w:w="4660" w:type="dxa"/>
            <w:vAlign w:val="bottom"/>
            <w:gridSpan w:val="2"/>
            <w:vMerge w:val="restart"/>
          </w:tcPr>
          <w:p>
            <w:pPr>
              <w:jc w:val="right"/>
              <w:ind w:right="956"/>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3240" w:type="dxa"/>
            <w:vAlign w:val="bottom"/>
            <w:vMerge w:val="continue"/>
          </w:tcPr>
          <w:p>
            <w:pPr>
              <w:spacing w:after="0"/>
              <w:rPr>
                <w:sz w:val="3"/>
                <w:szCs w:val="3"/>
                <w:color w:val="auto"/>
              </w:rPr>
            </w:pPr>
          </w:p>
        </w:tc>
        <w:tc>
          <w:tcPr>
            <w:tcW w:w="466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660" w:type="dxa"/>
            <w:vAlign w:val="bottom"/>
            <w:gridSpan w:val="2"/>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work-in-process</w:t>
            </w:r>
          </w:p>
        </w:tc>
        <w:tc>
          <w:tcPr>
            <w:tcW w:w="4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expiration in 2024 of extended warranty service contracts that were assumed in August 2021 in connection with the acquisition of Pharos laser system products, the Company wrote off $0.2 million of inventories that will no longer be needed for warranty purposes, which is included in cost of revenues in the consolidated statement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Lasers placed-in-service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Equipment, computer hardware and software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Lasers-in-process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36,062</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(26,148)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(24,284)</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11,778</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and amortization expense of $3.0 million and $2.9 million during the years ended December 31,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right-of-use assets (“ROU assets”) and operating lease liabilities when it obtains the right to control an asset under a leasing arrangement with an initial term greater than 12 months. The Company adopted the short-term accounting election for leases with a duration of less than one year. The Company leases its facilities and certain IT and office equipment under non-cancellable operating leases. All of the Company’s leasing arrangements are classified as operating leases with remaining lease terms ranging from one to five years. In March 2024, the Company terminated the existing lease for its California facility and concurrently executed a new lease that effectively extended the term of the lease for five years, which has been accounted for as a lease modification. The ROU asset and operating lease liability were remeasured at the modification date, resulting in an increase to both balances of $1.0 million during the year ended December 31, 2024. There were no lease modifications during the year ended December 31, 2023.</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lease costs were $0.5 million and $0.4 million for the years ended December 31, 2024 and 2023, respectively. Cash paid for amounts included in the measurement of operating lease liabilities was $0.5 million and $0.4 million for the years ended December 31, 2024 and 2023, respectively. As of December 31, 2024 and 2023, the weighted average incremental borrowing rate was 12.18% and 8.60%, respectively, and the weighted average remaining lease term was 4.1 years and 2.0 years, respectively.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540" w:type="dxa"/>
            <w:vAlign w:val="bottom"/>
            <w:vMerge w:val="restart"/>
          </w:tcPr>
          <w:p>
            <w:pPr>
              <w:spacing w:after="0"/>
              <w:rPr>
                <w:sz w:val="15"/>
                <w:szCs w:val="15"/>
                <w:color w:val="auto"/>
              </w:rPr>
            </w:pPr>
          </w:p>
        </w:tc>
        <w:tc>
          <w:tcPr>
            <w:tcW w:w="6860" w:type="dxa"/>
            <w:vAlign w:val="bottom"/>
            <w:gridSpan w:val="2"/>
            <w:vMerge w:val="restart"/>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2540" w:type="dxa"/>
            <w:vAlign w:val="bottom"/>
            <w:vMerge w:val="continue"/>
          </w:tcPr>
          <w:p>
            <w:pPr>
              <w:spacing w:after="0"/>
              <w:rPr>
                <w:sz w:val="3"/>
                <w:szCs w:val="3"/>
                <w:color w:val="auto"/>
              </w:rPr>
            </w:pPr>
          </w:p>
        </w:tc>
        <w:tc>
          <w:tcPr>
            <w:tcW w:w="686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860" w:type="dxa"/>
            <w:vAlign w:val="bottom"/>
            <w:gridSpan w:val="2"/>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4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operating lease maturities as of December 31, 2024 (in thousands):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6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540" w:type="dxa"/>
            <w:vAlign w:val="bottom"/>
            <w:shd w:val="clear" w:color="auto" w:fill="CCEEFF"/>
          </w:tcPr>
          <w:p>
            <w:pPr>
              <w:spacing w:after="0"/>
              <w:rPr>
                <w:sz w:val="18"/>
                <w:szCs w:val="18"/>
                <w:color w:val="auto"/>
              </w:rPr>
            </w:pPr>
          </w:p>
        </w:tc>
        <w:tc>
          <w:tcPr>
            <w:tcW w:w="68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25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3"/>
        </w:trPr>
        <w:tc>
          <w:tcPr>
            <w:tcW w:w="1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2540" w:type="dxa"/>
            <w:vAlign w:val="bottom"/>
            <w:shd w:val="clear" w:color="auto" w:fill="CCEEFF"/>
          </w:tcPr>
          <w:p>
            <w:pPr>
              <w:spacing w:after="0"/>
              <w:rPr>
                <w:sz w:val="19"/>
                <w:szCs w:val="19"/>
                <w:color w:val="auto"/>
              </w:rPr>
            </w:pPr>
          </w:p>
        </w:tc>
        <w:tc>
          <w:tcPr>
            <w:tcW w:w="6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356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remaining lease payments</w:t>
            </w:r>
          </w:p>
        </w:tc>
        <w:tc>
          <w:tcPr>
            <w:tcW w:w="646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6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356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646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With respect to lease and non-lease components, the Company adopted the practical expedient to account for the lessee arrangement as a single lease component.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Intangible Assets and Goodwill</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2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technology</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Product technology</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(3,984)</w:t>
            </w:r>
          </w:p>
        </w:tc>
        <w:tc>
          <w:tcPr>
            <w:tcW w:w="4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(6,555)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(1,425)</w:t>
            </w:r>
          </w:p>
        </w:tc>
        <w:tc>
          <w:tcPr>
            <w:tcW w:w="4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Pharos customer lists</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3,819</w:t>
            </w:r>
          </w:p>
        </w:tc>
      </w:tr>
      <w:tr>
        <w:trPr>
          <w:trHeight w:val="27"/>
        </w:trPr>
        <w:tc>
          <w:tcPr>
            <w:tcW w:w="7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(18,874)</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5,348</w:t>
            </w:r>
          </w:p>
        </w:tc>
      </w:tr>
      <w:tr>
        <w:trPr>
          <w:trHeight w:val="21"/>
        </w:trPr>
        <w:tc>
          <w:tcPr>
            <w:tcW w:w="7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7220" w:type="dxa"/>
            <w:vAlign w:val="bottom"/>
          </w:tcPr>
          <w:p>
            <w:pPr>
              <w:spacing w:after="0"/>
              <w:rPr>
                <w:sz w:val="24"/>
                <w:szCs w:val="2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technology</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2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Product technology</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(3,866)</w:t>
            </w:r>
          </w:p>
        </w:tc>
        <w:tc>
          <w:tcPr>
            <w:tcW w:w="4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(5,865)</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Tradenames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(1,275)</w:t>
            </w:r>
          </w:p>
        </w:tc>
        <w:tc>
          <w:tcPr>
            <w:tcW w:w="4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Pharos customer lists</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(1,052)</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4,262</w:t>
            </w:r>
          </w:p>
        </w:tc>
      </w:tr>
      <w:tr>
        <w:trPr>
          <w:trHeight w:val="27"/>
        </w:trPr>
        <w:tc>
          <w:tcPr>
            <w:tcW w:w="7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(16,903)</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7,319</w:t>
            </w:r>
          </w:p>
        </w:tc>
      </w:tr>
      <w:tr>
        <w:trPr>
          <w:trHeight w:val="20"/>
        </w:trPr>
        <w:tc>
          <w:tcPr>
            <w:tcW w:w="7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amortization expense of $2.0 million and $2.7 million during the years ended December 31, 2024 and 2023, respectively.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2023, the Company revised its projections of expected revenues and gross profits to be earned from TheraClear devices. The fair value of the contingent consideration as of December 31, 2023 was estimated to be $1.2 million, which resulted in a reduction in contingent consideration of $7.4 million with a corresponding adjustment to the carrying value of the product technology intangible asset. There was no such revaluation of the contingent consideration during the year ended December 31, 2024.</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estimated future amortization expense for the above intangible assets for the next five years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consists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Dermatology recurring procedures segment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Dermatology procedures equipment segment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recognized goodwill impairment charges of $3.9 million and $2.3 million, respectively, related to the dermatology recurring procedures segment primarily driven by a decline in projected cash flows, including revenues and profitability (see Note 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obligations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sales, use and other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56"/>
        </w:trPr>
        <w:tc>
          <w:tcPr>
            <w:tcW w:w="86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September 30, 2021, the Company entered into a credit and security agreement with MidCap Financial Trust (“MidCap”), also acting as the administrative agent, and the lenders identified therein. The original terms provided for an $8.0 million senior term loan. Borrowings under the senior term loan originally bore interest at LIBOR (with a LIBOR floor rate of 0.50%) plus 7.50% per year and were scheduled to mature on September 1, 2026, unless terminated earlier. The Company was obligated to make monthly interest-only payments through September 30, 2024. The credit and security agreement was amended on January 10, 2022 to provide MidCap’s consent to the TheraClear asset acquisition. On September 6, 2022, the Company amended the facility to transition, upon the cessation of LIBOR, to bear interest at one-month Secured Overnight Financing Rate (“SOFR”), or such other applicable period, plus 0.10%, with a floor of 0.50%.</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June 30, 2023, the Company entered into (a) Amendment No. 3 to the credit and security agreement (the “Third Amendment”); (b) the Amended and Restated Warrant Agreement (the “A&amp;R Warrant”) with MidCap Funding XXVII Trust (together with any registered holder from time to time or any holder of the shares issuable or issued upon the exercise or conversion of the warrant, the “Warrantholder”), which amended and restated the warrant agreement to purchase shares of the common stock of the Company, dated as of September 30, 2021 (the “Prior Warrant”), with the Warrantholder; (c) the Amended and Restated Registration Rights Agreement (the “A&amp;R Registration Rights Agreement”) with the Warrantholder, which amended and restated the registration rights agreement, dated as of September 30, 2021, with the Warrantholder; and (d) a letter agreement (the “Fee Letter Agreement”) with MidCap, as agent.</w:t>
      </w:r>
    </w:p>
    <w:p>
      <w:pPr>
        <w:spacing w:after="0" w:line="37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20, 2024, the Company entered into (a) Amendment No. 4 to the credit and security agreement (the “Fourth Amendment”), which amended the credit and security agreement, and (b) a second amended and restated letter agreement (“Amended Fee Letter Agreement”) with MidCap, as agent.</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27, 2024, the Company entered into Amendment No. 5 to the credit and security agreement (the “Fifth Amendment”), which further amended the credit and security agreement (as amended to date, the “Senior Term Facility”) to clarify certain provisions related to the maintenance of cash collateral accounts.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Senior Term Facility provides for a senior secured term loan facility of $20.0 million, of which $8.0 million was drawn by the Company on September 30, 2021 (“Credit Facility #1”), $7.0 million was drawn by the Company on June 30, 2023 (“Credit Facility #2”), and an additional $5.0 million tranche (“Credit Facility #3”) was available to be drawn by the Company if its Dermatology Recurring Procedures Revenue (as defined in the Senior Term Facility) for the preceding 12 calendar months (ending on the last day of the calendar month for which a compliance certificate is delivered) was greater than or equal to $30.0 million (such condition, the “Applicable Funding Condition”). Credit Facility #3 could have been drawn beginning on the later of the satisfaction of the Applicable Funding Condition and January 1, 2024, with such commitment terminating on the earlier to occur of December 31, 2024 and the delivery of a written notice by MidCap to the Company terminating the applicable commitments following an Event of Default (as defined in the Senior Term Facility) that has not been waived or cured at the time such notice is delivered. The Company did not meet the Applicable Funding Condition and, as of December 31, 2024, Credit Facility #3 is no longer available. All borrowings are secured by substantially all of the Company’s assets.</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Borrowings under the Senior Term Facility bear interest at a rate per annum equal to the sum of (a) the greater of (i) the sum of (A) 30-day forward-looking term rate of one month SOFR, as published by CME Group Benchmark Administration Limited, from time to time, plus (B) 0.10%, and (ii) the applicable floor rate of 3.50%, with such sum reset monthly, and (b) 7.50%. The effective interest rate of the Senior Term Facility as of December 31, 2024 and 2023 was 13.16% and 13.68%, respectively. The Company is obligated to make interest-only payments (payable monthly in arrears) through June 1, 2026. Commencing on July 1, 2026 and continuing for the remaining 24 months of the facility, the Company will be required to make monthly interest payments and monthly principal payments based on a straight-line amortization schedule set forth in the Senior Term Facility, subject to certain adjustments as described in the Senior Term Facility. The final maturity date under the Senior Term Facility is June 1, 2028, unless earlier terminated. The Senior Term Facility requires the Company to dedicate 100% of certain insurance proceeds to the prepayment of the outstanding term loan, subject to certain exceptions and net of certain expenses and repayments.</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may voluntarily prepay the outstanding term loan under the Senior Term Facility, with such prepayment in an amount of at least $5.0 million, at any time upon 30 days’ written notice. Upon prepayment, the Company will be required to pay a prepayment fee equal to (i) 4.00% of the outstanding principal prepaid or required to be prepaid (whichever is greater), if the prepayment is made within 12 months of February 20, 2024, (ii) 3.00% of the outstanding principal prepaid or required to be prepaid (whichever is greater), if the prepayment is made between 12 months and 24 months after February 20, 2024, (iii) 2.00% of the outstanding principal prepaid or required to be prepaid (whichever is greater), if the prepayment is made between 24 months and 36 months after February 20, 2024, or (iv) 1.00% of the outstanding principal prepaid or required to be prepaid (whichever is greater), if the prepayment is made after 36 months after February 20, 2024 and prior to the maturity date.</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Senior Term Facility contains certain customary representations and warranties, affirmative covenants and conditions, as well as various negative covenants. Further, the Senior Term Facility contains (a) a quarterly financial covenant that requires the Company to not have less than $30.5 million of net revenue (raised to $33.0 million by December 31, 2026 and, for periods ending after December 31, 2026, such net revenue as determined in good faith by MidCap, which shall not be less than the applicable minimum net revenue amount for the immediately preceding period and $33.0 million) for the trailing 12-month period as of March 31, 2025, and (b) a minimum of unrestricted cash (as defined in the Senior Term Facility), at all times, of not less than $3.0 million. At December 31, 2024, the Company was in compliance with all financial covenants within the Senior Term Facility.</w:t>
      </w:r>
    </w:p>
    <w:p>
      <w:pPr>
        <w:spacing w:after="0" w:line="37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Upon the occurrence and during the continuance of an event of default, MidCap may, and at the direction of a requisite percentage of the lenders must, (i) suspend or terminate the term loan commitment and MidCap and the other lenders’ obligations with respect thereto, and (ii) by notice to the Company, declare all or any portion of the obligations under the Senior Term Facility to be immediately due and payable. In addition to MidCap’s other rights and available remedies, but subject to applicable cure periods, upon the occurrence and during the continuance of an event of default, MidCap may, and at the direction of a requisite percentage of the lenders must, terminate the Senior Term Facility. At December 31, 2024, no event of default had occurred, and the Company believed that events or conditions having a material adverse effect, giving rise to an acceleration of any amounts outstanding under the Senior Term Facility, had not occurred and were remote.</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Amended Fee Letter Agreement, the Company agreed to pay MidCap, as administrative agent, the following fees: (a) an origination fee on June 30, 2023 in an amount equal to (i) the Credit Extensions (as defined in the Senior Term Facility) in respect of Credit Facility #2, multiplied by</w:t>
      </w:r>
    </w:p>
    <w:p>
      <w:pPr>
        <w:jc w:val="both"/>
        <w:ind w:firstLine="8"/>
        <w:spacing w:after="0" w:line="251" w:lineRule="auto"/>
        <w:tabs>
          <w:tab w:leader="none" w:pos="2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0.50%; (b) on the maturity date of the Senior Term Facility or any earlier date on which the obligations thereunder become due and payable in full or are otherwise paid in full (such date, the “Full Exit Fee Payment Date”), the Company shall pay an exit fee equal to (i) 4.00% of the total aggregate principal amount of Credit Extensions (as defined in the Senior Term Facility) made pursuant to the Senior Term Facility (regardless of any repayment or prepayment thereof) as of the Full Exit Fee Payment Date (such aggregate amount, the “Exit Fee Base Amount”), less (ii) any Partial Exit Fee (as defined below) previously paid; (c) on the date of any voluntary or mandatory partial prepayment of the borrowings under the Senior Term Facility (or on the date such mandatory prepayment becomes due and payable) (each such date, a “Partial Exit Fee Payment Date”), the Company shall pay an exit fee equal to 4.00% of the principal amount of the credit facilities paid or prepaid (or required to be paid in the case of a mandatory prepayment) as of the Partial Exit Fee Payment Date (such amount, the “Partial Exit Fee”); and (d) an origination fee payable contemporaneously with funding Credit Facility #3 in an amount equal to (i) the Credit Extensions (as defined in the Senior Term Facility) in respect of Credit Facility #3, multiplied by (ii) 0.50%.</w:t>
      </w:r>
    </w:p>
    <w:p>
      <w:pPr>
        <w:spacing w:after="0" w:line="19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Prior Warrant allowed the Warrantholder, an affiliate of the lender, to purchase 37,362 shares of the Company’s common stock at an exercise price equal to $18.20 per share for a 10-year period ending September 30, 2031. Pursuant to, and in accordance with, the terms and conditions of the A&amp;R Warrant, which amended and restated the Prior Warrant, the Warrantholder can purchase 80,000 shares of the Company’s common stock at an exercise price equal to $8.80 per share for a 10-year period ending on June 30, 2033. Pursuant to the A&amp;R Registration Rights Agreement, the Company registered the shares underlying the A&amp;R Warrant effective August 18, 2023. The amendment of the warrant resulted in an increase in the fair value of the warrant, which has been accounted for as a lender fee.</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Third Amendment was accounted for as a debt extinguishment, as the new loan was considered substantially different from the original loan. The Company recorded a loss on debt extinguishment of $0.9 million for the year ended December 31, 2023, which included unamortized debt discount on the original loan of $0.4 million, an increase in the fair value of the warrant of $0.4 million and lender fees of $0.1 million. The Fourth Amendment has been accounted for as a debt modification, as the new loan is not considered substantially different from the existing loan. In connection with the Fourth Amendment, the Company increased the accrued exit fee, which is recorded as both a debt discount and an increase to the principal amount of debt, to $0.6 million. The debt discount, which also includes third party costs incurred in connection with the Third Amendment of $13.0 thousand, is being recognized as interest expense over the term of the Senior Term Facility using the effective-interest method. The unamortized debt discount was $0.4 million as of both December 31, 2024 and 2023. The Company recognized interest expense of $2.1 million during the year ended December 31, 2024, of which $0.1 million was related to the amortization of the debt discount. The Company recognized interest expense of $1.6 million during the year ended December 31, 2023, of which $0.1 million was related to the amortization of the debt discount.</w:t>
      </w:r>
    </w:p>
    <w:p>
      <w:pPr>
        <w:spacing w:after="0" w:line="37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00" w:type="dxa"/>
            <w:vAlign w:val="bottom"/>
            <w:vMerge w:val="restart"/>
          </w:tcPr>
          <w:p>
            <w:pPr>
              <w:spacing w:after="0"/>
              <w:rPr>
                <w:sz w:val="15"/>
                <w:szCs w:val="15"/>
                <w:color w:val="auto"/>
              </w:rPr>
            </w:pPr>
          </w:p>
        </w:tc>
        <w:tc>
          <w:tcPr>
            <w:tcW w:w="6960" w:type="dxa"/>
            <w:vAlign w:val="bottom"/>
            <w:gridSpan w:val="2"/>
            <w:vMerge w:val="restart"/>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2400" w:type="dxa"/>
            <w:vAlign w:val="bottom"/>
            <w:vMerge w:val="continue"/>
          </w:tcPr>
          <w:p>
            <w:pPr>
              <w:spacing w:after="0"/>
              <w:rPr>
                <w:sz w:val="3"/>
                <w:szCs w:val="3"/>
                <w:color w:val="auto"/>
              </w:rPr>
            </w:pPr>
          </w:p>
        </w:tc>
        <w:tc>
          <w:tcPr>
            <w:tcW w:w="696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696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3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Future minimum principal payments at December 31, 2024 are as follows (in thousands):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6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240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24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2400" w:type="dxa"/>
            <w:vAlign w:val="bottom"/>
            <w:tcBorders>
              <w:bottom w:val="single" w:sz="8" w:color="CCEEFF"/>
            </w:tcBorders>
            <w:shd w:val="clear" w:color="auto" w:fill="CCEEFF"/>
          </w:tcPr>
          <w:p>
            <w:pPr>
              <w:spacing w:after="0"/>
              <w:rPr>
                <w:sz w:val="19"/>
                <w:szCs w:val="19"/>
                <w:color w:val="auto"/>
              </w:rPr>
            </w:pPr>
          </w:p>
        </w:tc>
        <w:tc>
          <w:tcPr>
            <w:tcW w:w="66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Exit fee</w:t>
            </w:r>
          </w:p>
        </w:tc>
        <w:tc>
          <w:tcPr>
            <w:tcW w:w="66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6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34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660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is routinely a defendant in or party to pending and threatened legal actions and proceedings, including actions brought on behalf of various classes of claimants. These actions and proceedings are generally based on alleged violations of employment, contract, and other laws. In some of these actions and proceedings, claims for substantial monetary damages are asserted against the Company. In the ordinary course of business, the Company is also subject to regulatory and governmental examinations, information gathering requests, inquiries, investigations, and threatened legal actions and proceedings. In connection with formal and informal inquiries by federal, state, local and foreign agencies, the Company receives numerous requests, subpoenas and orders for documents, testimony, and information in connection with various aspects of its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State Sales and Use Tax Matters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state sales tax collected and remitted for its customers on dermatology procedures equipment sales on a net basis, excluded from revenue. The Company’s sales tax expense that is not presently being collected and remitted for the recurring revenue business is recorded in general and administrative expenses within the consolidated statements of operations.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 believes its state sales and use tax accruals have been properly recognized such that, if the Company’s arrangements with customers are deemed more likely than not that the Company would not be exempt from sales tax in a particular state, the basis for measurement of the state sales and use tax is calculated in accordance with ASC 405,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as a transaction tax. If and when the Company is successful in defending itself or in settling the sales tax obligation for a lesser amount, the reversal of this liability is to be recorded in the period the settlement is reached. However, the precise scope, timing, and time period at issue, as well as the final outcome of any audit and actual settlement, remains uncertain.</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is, from time to time, subject to audits performed by state taxing authorities. These actions and proceedings are generally based on the position that the arrangements entered into by the Company are subject to sales and use tax rather than exempt from tax under applicable law. The states of New York and California have assessed the Company an aggregate of $5.2 million including penalties and interest. The audits cover the period from March 2014 through November 2022. The Company received notification that an administrative state judge in New York issued an opinion finding in favor of the Company that the sale of XTRAC treatment codes was not taxable as sales tax with respect to that state’s first assessment. This ruling covers $1.8 million of the total $5.2 million of assessments. The relevant taxing authority filed an appeal of the administrative law judge’s finding and, following the submission of legal briefs by both sides and oral argument held in January 2022, on May 6, 2022, the Company received a written decision from the Tribunal overturning the favorable sales tax determination of the administrative law judge. The Company appealed the Tribunal’s decision to the New York State Appellate Division (“Appellate Division”), and posted the required appellate bond in the form of cash collateral. Oral argument was held by the Appellate Division on January 18, 2024.</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March 8, 2024, the Company received a decision from the Appellate Division ruling against it in the matter of its sales tax appeal, affirming the Tribunal’s ruling that the Company’s sale of XTRAC treatment codes is subject to sales tax. The Appellate Division concluded that, through the usage arrangements, the Company’s customers had possession of the laser devices and had a license and ability to use the laser devices. The Appellate Division also agreed with the Tribunal that the primary function analysis was not applicable in this matter. On April 11, 2024, the Company filed a motion for leave to appeal the Appellate Division’s decision to the New York State Court of Appeals (“Court of Appeals”). On October 22, 2024, in an unsigned one-line decision, the Court of Appeals denied the Company’s motion to appeal the Appellate Division ruling. Therefore, the adverse decision stands and New York will execute on the appellate bond the Company posted for $1.3 million. As of September 30, 2024, the Company has accrued $1.8 million including penalties and interest as a result of the Appellate Division ruling. The Company is in the administrative process of appeal with respect to the remaining $1.3 million of assessments in the State of New York. The Company believes that the Appellate Division ruling provides an avenue for challenging the pending audit periods and subsequent periods, provided the Company can show that the value of the equipment provided to customers is either incidental to the overall value of the non-taxable services that are provided or should be treated similarly to pharmaceutical treatments, which are generally exempt from sales tax.</w:t>
      </w:r>
    </w:p>
    <w:p>
      <w:pPr>
        <w:spacing w:after="0" w:line="19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State of California has made aggregate assessments of $2.1 million including penalties and interest. The audits cover the period from June 2018 through June 2022. The Company is in the administrative process of appeal in this jurisdiction as well.</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those states where we did not or may not prevail in the future with the defenses we have proposed and in the event there is a determination that the true object of the Company’s recurring revenue model is not exempt from sales taxes and is not a prescription medicine, or the Company does not have other defenses where the Company prevails, the Company may be subject to sales taxes in those particular states for previous years and in the future, plus potential interest and penalties. The precise scope, timing and time periods at issue, as well as the final outcomes of the investigations and judicial proceedings, remain uncertain. Accordingly, the Company’s estimate may change from time to time, and actual losses could vary.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401(k) Savings Plan</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sponsors a 401(k) defined contribution retirement savings plan that covers all eligible employees who have met the minimum age and service requirements. Under the plan, eligible employees may contribute a portion of their annual compensation into the plan up to IRS annual limits. The Company has elected to make matching contributions to the plan based on a percentage of the employee’s contribution. For the years ended December 31, 2024 and 2023, the Company’s contributions to the plan were $0.3 million and $0.4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Company’s acquisition of certain assets related to the TheraClear devices, Theravant is eligible to receive up to $3.0 million in future earnout payments upon the achievement of certain annual net revenue milestones ($1.0 million of which is due upon the earlier of achieving a revenue target or July 2025), up to $20.0 million in future royalty payments based upon a percentage of gross profit from future domestic sales ranging from 10-20%, 25% of gross profit from international sales over the subsequent four-year period, and up to $0.5 million in future milestone payments upon the achievement of certain commercialization related targets. The Company has notified Theravant that it believes the earnout payments are not due and will not be due in the future. Theravant has disputed the Company’s contention and the matter is under discussion among the signatories to the purchase agreement. Through December 31, 2024, the Company has incurred an aggregate of $0.1 million of royalty and gross profit payments based on gross profit from domestic and international sales.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980" w:type="dxa"/>
            <w:vAlign w:val="bottom"/>
            <w:vMerge w:val="restart"/>
          </w:tcPr>
          <w:p>
            <w:pPr>
              <w:spacing w:after="0"/>
              <w:rPr>
                <w:sz w:val="15"/>
                <w:szCs w:val="15"/>
                <w:color w:val="auto"/>
              </w:rPr>
            </w:pPr>
          </w:p>
        </w:tc>
        <w:tc>
          <w:tcPr>
            <w:tcW w:w="4880" w:type="dxa"/>
            <w:vAlign w:val="bottom"/>
            <w:vMerge w:val="restart"/>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1980" w:type="dxa"/>
            <w:vAlign w:val="bottom"/>
            <w:vMerge w:val="continue"/>
          </w:tcPr>
          <w:p>
            <w:pPr>
              <w:spacing w:after="0"/>
              <w:rPr>
                <w:sz w:val="3"/>
                <w:szCs w:val="3"/>
                <w:color w:val="auto"/>
              </w:rPr>
            </w:pPr>
          </w:p>
        </w:tc>
        <w:tc>
          <w:tcPr>
            <w:tcW w:w="4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88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r>
        <w:trPr>
          <w:trHeight w:val="392"/>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Payments</w:t>
            </w: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January 2022, the Company entered into a Development Agreement (the “Development Agreement”) with Theravant. Under the Development Agreement, the Company will reimburse Theravant for costs incurred in further developing certain TheraClear technology and other healthcare products and methods for the medical aesthetic marketplace. In connection with the development of three devices, Theravant is eligible to receive $0.5 million upon FDA clearance for each device and $0.5 million upon achievement of certain net revenue targets for each device, aggregating to $3.0 million of potential future milestone payments under the Development Agreement. The Development Agreement had a three-year term, unless terminated sooner by either party, and expired in January 2025. The Development Agreement was being accounted for separately from the TheraClear asset acquisition. No milestone payments were incurred under the Development Agreement, nor does the Company anticipate that any such payments may be due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authorized to issue preferred stock with such designation, rights and preferences as may be determined from time to time by the Company’s Board of Directors. Other than the limitations on conversions to keep each such holder’s beneficial ownership below 9.99%, the terms of the Series C convertible preferred stock generally bestow the same rights to each holder as such holder would receive if they were common stock shareholders and are not redeemable by the holders, except that the Series C convertible preferred stock shares do not have voting rights. Each share of Series C convertible preferred stock has a stated value of $1.0 thousand and is convertible into shares of common stock at a conversion price equal to $26.90. No preferred shares were outstanding as of December 31,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issued 33,779 shares upon the vesting of restricted stock during the year ended December 31, 2023. No shares were issued upon the vesting of restricted stock during the year ended December 31, 2024.</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2021, the Company entered into an equity distribution agreement under which the Company may sell up to $11.0 million of its shares of common stock in registered “at-the-market” offerings. The shares will be offered at prevailing market prices, and the Company will pay commissions of up to 3.0% of the gross proceeds from the sale of shares sold through the Company’s agent, which may act as an agent and/or principal. The Company has no obligation to sell any shares under this agreement and may, at any time, suspend solicitations under this agreement. In July 2024, the Company sold 665,136 shares of its common stock under the equity distribution agreement at an average purchase price of $3.16 per share for total gross and net proceeds of $2.1 million and $1.9 million, respectively. No shares of the Company’s common stock were sold under this distribution agreement during the year ended December 31, 2023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As of December 31, 2024, the Company may sell up to an additional $8.9 million of its shares of common stock under the equity distribution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2021 and in connection with entering into the Company’s Senior Term Facility (Note 9), the Company issued a warrant to purchase 37,362 shares of the Company’s common stock at an initial exercise price of $18.20 per share. The warrant was amended in June 2023 in connection with the execution of the Third Amendment to the Senior Term Facility. The amended warrant is to purchase 80,000 shares of the Company’s common stock at an exercise price equal to $8.80 per share. The warrant is equity classified and is exercisable at any time on or prior to the tenth anniversary of its amendment date. As of December 31, 2024, the warrant remains outstanding in its entirety.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420" w:type="dxa"/>
            <w:vAlign w:val="bottom"/>
            <w:vMerge w:val="restart"/>
          </w:tcPr>
          <w:p>
            <w:pPr>
              <w:spacing w:after="0"/>
              <w:rPr>
                <w:sz w:val="15"/>
                <w:szCs w:val="15"/>
                <w:color w:val="auto"/>
              </w:rPr>
            </w:pPr>
          </w:p>
        </w:tc>
        <w:tc>
          <w:tcPr>
            <w:tcW w:w="444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2420" w:type="dxa"/>
            <w:vAlign w:val="bottom"/>
            <w:vMerge w:val="continue"/>
          </w:tcPr>
          <w:p>
            <w:pPr>
              <w:spacing w:after="0"/>
              <w:rPr>
                <w:sz w:val="3"/>
                <w:szCs w:val="3"/>
                <w:color w:val="auto"/>
              </w:rPr>
            </w:pPr>
          </w:p>
        </w:tc>
        <w:tc>
          <w:tcPr>
            <w:tcW w:w="4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4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r>
        <w:trPr>
          <w:trHeight w:val="392"/>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2016 Omnibus Incentive Stock Plan (“2016 Plan”), as amended, has reserved up to 7,832,651 shares of common stock for future issuance. As of December 31, 2024, there were 7,270,212 shares of common stock remaining available for issuance for awards under the 2016 Plan.</w:t>
      </w:r>
    </w:p>
    <w:p>
      <w:pPr>
        <w:spacing w:after="0" w:line="121" w:lineRule="exact"/>
        <w:rPr>
          <w:sz w:val="20"/>
          <w:szCs w:val="20"/>
          <w:color w:val="auto"/>
        </w:rPr>
      </w:pPr>
    </w:p>
    <w:p>
      <w:pPr>
        <w:jc w:val="both"/>
        <w:ind w:firstLine="648"/>
        <w:spacing w:after="0" w:line="236" w:lineRule="exact"/>
        <w:rPr>
          <w:sz w:val="20"/>
          <w:szCs w:val="20"/>
          <w:color w:val="auto"/>
        </w:rPr>
      </w:pPr>
      <w:r>
        <w:rPr>
          <w:rFonts w:ascii="Times New Roman" w:cs="Times New Roman" w:eastAsia="Times New Roman" w:hAnsi="Times New Roman"/>
          <w:sz w:val="18"/>
          <w:szCs w:val="18"/>
          <w:color w:val="auto"/>
        </w:rPr>
        <w:t>The Company measures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at their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fair value and records compensation expense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requisite service period of the awards. The Company recorded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all awards and modifications, if any) in the accompanying consolidated statements of operations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3, 2023, the Company granted 15,000 stock-based options to its former Chief Executive Officer. The vesting of these awards was contingent upon meeting one or more financial goals (a performance condition) or a common stock share price (a market condition). The fair value of stock-based awards is determined at the date of grant. Stock-based compensation expense is recorded ratably for market condition awards during the requisite service period and is not reversed, except for forfeitures, at the vesting date regardless of whether the market condition is met. Stock-based compensation expense for performance condition awards is re-evaluated at each reporting period based on the probability of the achievement of the goal. The 15,000 stock-based options were forfeited in the fourth quarter of 2023 due to the Chief Executive Officer’s separation and failure to achieve the vesting conditions.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Also in connection with the separation of the Company’s Chief Executive Officer in October 2023, the vesting of 27,209 unvested options to purchase shares of common stock was accelerated. As this acceleration of vesting occurred in accordance with the terms of the original option agreement, it is not considered a modification for accounting purposes. The Company recognized $0.3 million of share-based compensation expense in connection with the accelerated vesting.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4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4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6"/>
        </w:trPr>
        <w:tc>
          <w:tcPr>
            <w:tcW w:w="4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18"/>
                <w:szCs w:val="18"/>
                <w:color w:val="auto"/>
              </w:rPr>
            </w:pPr>
          </w:p>
        </w:tc>
        <w:tc>
          <w:tcPr>
            <w:tcW w:w="1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Exercise Price per</w:t>
            </w:r>
          </w:p>
        </w:tc>
        <w:tc>
          <w:tcPr>
            <w:tcW w:w="4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r>
      <w:tr>
        <w:trPr>
          <w:trHeight w:val="245"/>
        </w:trPr>
        <w:tc>
          <w:tcPr>
            <w:tcW w:w="45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Under Option Plan</w:t>
            </w:r>
          </w:p>
        </w:tc>
        <w:tc>
          <w:tcPr>
            <w:tcW w:w="80" w:type="dxa"/>
            <w:vAlign w:val="bottom"/>
          </w:tcPr>
          <w:p>
            <w:pPr>
              <w:spacing w:after="0"/>
              <w:rPr>
                <w:sz w:val="21"/>
                <w:szCs w:val="21"/>
                <w:color w:val="auto"/>
              </w:rPr>
            </w:pPr>
          </w:p>
        </w:tc>
        <w:tc>
          <w:tcPr>
            <w:tcW w:w="10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84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454,504</w:t>
            </w:r>
          </w:p>
        </w:tc>
        <w:tc>
          <w:tcPr>
            <w:tcW w:w="1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6.31</w:t>
            </w: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18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(129,102)</w:t>
            </w:r>
          </w:p>
        </w:tc>
        <w:tc>
          <w:tcPr>
            <w:tcW w:w="1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15.59</w:t>
            </w:r>
          </w:p>
        </w:tc>
        <w:tc>
          <w:tcPr>
            <w:tcW w:w="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5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84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772,864</w:t>
            </w:r>
          </w:p>
        </w:tc>
        <w:tc>
          <w:tcPr>
            <w:tcW w:w="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11.07</w:t>
            </w:r>
          </w:p>
        </w:tc>
        <w:tc>
          <w:tcPr>
            <w:tcW w:w="1600" w:type="dxa"/>
            <w:vAlign w:val="bottom"/>
            <w:tcBorders>
              <w:top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3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(321,138)</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14.07</w:t>
            </w: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8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521,726</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r>
      <w:tr>
        <w:trPr>
          <w:trHeight w:val="217"/>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208,671</w:t>
            </w:r>
          </w:p>
        </w:tc>
        <w:tc>
          <w:tcPr>
            <w:tcW w:w="14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12.21</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r>
      <w:tr>
        <w:trPr>
          <w:trHeight w:val="257"/>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8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521,726</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w:t>
            </w:r>
          </w:p>
        </w:tc>
        <w:tc>
          <w:tcPr>
            <w:tcW w:w="1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r>
      <w:tr>
        <w:trPr>
          <w:trHeight w:val="564"/>
        </w:trPr>
        <w:tc>
          <w:tcPr>
            <w:tcW w:w="4560" w:type="dxa"/>
            <w:vAlign w:val="bottom"/>
          </w:tcPr>
          <w:p>
            <w:pPr>
              <w:spacing w:after="0"/>
              <w:rPr>
                <w:sz w:val="24"/>
                <w:szCs w:val="24"/>
                <w:color w:val="auto"/>
              </w:rPr>
            </w:pPr>
          </w:p>
        </w:tc>
        <w:tc>
          <w:tcPr>
            <w:tcW w:w="3480" w:type="dxa"/>
            <w:vAlign w:val="bottom"/>
            <w:gridSpan w:val="3"/>
          </w:tcPr>
          <w:p>
            <w:pPr>
              <w:jc w:val="right"/>
              <w:ind w:right="2280"/>
              <w:spacing w:after="0"/>
              <w:rPr>
                <w:sz w:val="20"/>
                <w:szCs w:val="20"/>
                <w:color w:val="auto"/>
              </w:rPr>
            </w:pPr>
            <w:r>
              <w:rPr>
                <w:rFonts w:ascii="Times New Roman" w:cs="Times New Roman" w:eastAsia="Times New Roman" w:hAnsi="Times New Roman"/>
                <w:sz w:val="14"/>
                <w:szCs w:val="14"/>
                <w:color w:val="auto"/>
              </w:rPr>
              <w:t>F-26</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94"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grant date fair value of options granted was $2.27 and $4.43 per share during the years ended December 31, 2024 and 2023, respectively. As of December 31, 2024, the total unrecognized compensation expense related to unvested stock option awards was $1.0 million, which the Company expects to recognize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period of approximately 2.36 years. The aggregate intrinsic value of options outstanding at December 31, 2024 and 2023 was $8.0 thousand and $0.1 million, respectively. There was no aggregate intrinsic value of options exercisable and no options were exercised during the years ended December 31, 2024 and 2023.</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options is estimated using the Black-Scholes option pricing model which takes into account inputs such as the exercise price, the value of the underlying common stock at the grant date, expected term, expected volatility, risk free interest rate and dividend yield. The fair value of each grant of options during the year ended December 31, 2024 and 2023 was determined using the methods and assumptions discussed below.</w:t>
      </w:r>
    </w:p>
    <w:p>
      <w:pPr>
        <w:spacing w:after="0" w:line="176" w:lineRule="exact"/>
        <w:rPr>
          <w:sz w:val="20"/>
          <w:szCs w:val="20"/>
          <w:color w:val="auto"/>
        </w:rPr>
      </w:pPr>
    </w:p>
    <w:p>
      <w:pPr>
        <w:jc w:val="both"/>
        <w:ind w:left="880" w:hanging="440"/>
        <w:spacing w:after="0" w:line="266"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employee options is based on the observed and expected time to full-vesting, forfeiture and exercise. Groups of employees that have similar historical exercise behavior are considered separately for valuation purposes. Options expire up to a maximum of ten years from the date of grant.</w:t>
      </w:r>
    </w:p>
    <w:p>
      <w:pPr>
        <w:spacing w:after="0" w:line="175"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is based on historical volatility of the Company’s common stock.</w:t>
      </w:r>
    </w:p>
    <w:p>
      <w:pPr>
        <w:spacing w:after="0" w:line="225"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 that is commensurate with the assumed expected term.</w:t>
      </w:r>
    </w:p>
    <w:p>
      <w:pPr>
        <w:spacing w:after="0" w:line="161"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none because the Company has not historically paid and does not expect for the foreseeable future to pay a dividend on its shares of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2024 and 2023, the grant date fair value of all option grants was estimated at the time of grant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option-pricing model using the following weighted average assumptions: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64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77.93%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74.58%</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 units have been issued to certain board members. Activity in restricted stock units is summarized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5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45"/>
        </w:trPr>
        <w:tc>
          <w:tcPr>
            <w:tcW w:w="5280" w:type="dxa"/>
            <w:vAlign w:val="bottom"/>
          </w:tcPr>
          <w:p>
            <w:pPr>
              <w:spacing w:after="0"/>
              <w:rPr>
                <w:sz w:val="21"/>
                <w:szCs w:val="21"/>
                <w:color w:val="auto"/>
              </w:rPr>
            </w:pPr>
          </w:p>
        </w:tc>
        <w:tc>
          <w:tcPr>
            <w:tcW w:w="4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30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2023</w:t>
            </w:r>
          </w:p>
        </w:tc>
        <w:tc>
          <w:tcPr>
            <w:tcW w:w="294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17,959</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4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(17,944)</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 and expired</w:t>
            </w:r>
          </w:p>
        </w:tc>
        <w:tc>
          <w:tcPr>
            <w:tcW w:w="4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(9,710)</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294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4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(2,265)</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10.30</w:t>
            </w:r>
          </w:p>
        </w:tc>
      </w:tr>
      <w:tr>
        <w:trPr>
          <w:trHeight w:val="256"/>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29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there was no unrecognized compensation expense related to restricted stock units.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00" w:type="dxa"/>
            <w:vAlign w:val="bottom"/>
            <w:vMerge w:val="restart"/>
          </w:tcPr>
          <w:p>
            <w:pPr>
              <w:spacing w:after="0"/>
              <w:rPr>
                <w:sz w:val="15"/>
                <w:szCs w:val="15"/>
                <w:color w:val="auto"/>
              </w:rPr>
            </w:pPr>
          </w:p>
        </w:tc>
        <w:tc>
          <w:tcPr>
            <w:tcW w:w="5620" w:type="dxa"/>
            <w:vAlign w:val="bottom"/>
            <w:gridSpan w:val="2"/>
            <w:vMerge w:val="restart"/>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STRATA Skin Sciences, Inc. and Subsidiary</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2200" w:type="dxa"/>
            <w:vAlign w:val="bottom"/>
            <w:vMerge w:val="continue"/>
          </w:tcPr>
          <w:p>
            <w:pPr>
              <w:spacing w:after="0"/>
              <w:rPr>
                <w:sz w:val="3"/>
                <w:szCs w:val="3"/>
                <w:color w:val="auto"/>
              </w:rPr>
            </w:pPr>
          </w:p>
        </w:tc>
        <w:tc>
          <w:tcPr>
            <w:tcW w:w="56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Income tax expense consists of the following (in thousands):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5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10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546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54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5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3"/>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spacing w:after="0"/>
              <w:rPr>
                <w:sz w:val="19"/>
                <w:szCs w:val="19"/>
                <w:color w:val="auto"/>
              </w:rPr>
            </w:pPr>
          </w:p>
        </w:tc>
        <w:tc>
          <w:tcPr>
            <w:tcW w:w="54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5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differences between the consolidated financial statement carrying amounts and tax bases of assets and liabilities using enacted tax rates in effect for years in which differences are expected to reverse.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the Company’s deferred tax liability for federal income taxes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46,295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46,718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Reserves and accrued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limitation carryover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52,458</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(51,671)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(50,139)</w:t>
            </w:r>
          </w:p>
        </w:tc>
      </w:tr>
      <w:tr>
        <w:trPr>
          <w:trHeight w:val="223"/>
        </w:trPr>
        <w:tc>
          <w:tcPr>
            <w:tcW w:w="868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w:t>
            </w:r>
          </w:p>
        </w:tc>
      </w:tr>
      <w:tr>
        <w:trPr>
          <w:trHeight w:val="223"/>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(1,232)</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assessing the need for a valuation allowance, management must determine that there will be sufficient taxable income to allow for the realization of deferred tax assets. Based upon historical and anticipated future losses, management has determined that the deferred tax assets do not meet the more likely than not threshold for realizability. Accordingly, a full valuation allowance has been recorded against the Company’s deferred tax assets as of December 31, 2024. The valuation allowance increased by $1.5 million during the year ended December 31, 2024. The Company does not have unrecognized tax benefits as of December 31, 2024 or 2023. The Company recognizes interest and penalties accrued on any unrecognized tax benefits as a component of income tax expense.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net operating loss (“NOL”) carryforwards for federal and state income tax purposes as follows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19685</wp:posOffset>
            </wp:positionV>
            <wp:extent cx="156019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906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203,490</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205,212</w:t>
            </w:r>
          </w:p>
        </w:tc>
        <w:tc>
          <w:tcPr>
            <w:tcW w:w="100" w:type="dxa"/>
            <w:vAlign w:val="bottom"/>
            <w:shd w:val="clear" w:color="auto" w:fill="CCEEFF"/>
          </w:tcPr>
          <w:p>
            <w:pPr>
              <w:spacing w:after="0"/>
              <w:rPr>
                <w:sz w:val="19"/>
                <w:szCs w:val="19"/>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62,819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63,566</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NOL carryforwards generated prior to 2018 began to expire for federal income tax purposes and begin expiring in 2030 for state income tax purposes. Federal and many state NOLs generated in 2018 and into the future now have an indefinite life.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NOL carryforwards are subject to review and possible adjustment by the Internal Revenue Service and state tax authorities. NOL carryforwards may become subject to an annual limitation in the event of certain cumulative changes in the ownership interest of significant stockholders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To date, the Company has not performed an analysis to determine whether or not ownership changes have occurred since inception.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at the statutory federal income tax rate and income taxes as reflected in the consolidated financial statements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80" w:type="dxa"/>
            <w:vAlign w:val="bottom"/>
          </w:tcPr>
          <w:p>
            <w:pPr>
              <w:spacing w:after="0"/>
              <w:rPr>
                <w:sz w:val="21"/>
                <w:szCs w:val="21"/>
                <w:color w:val="auto"/>
              </w:rPr>
            </w:pPr>
          </w:p>
        </w:tc>
        <w:tc>
          <w:tcPr>
            <w:tcW w:w="27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4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tax expense at statutory rate</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difference and true ups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7"/>
        </w:trPr>
        <w:tc>
          <w:tcPr>
            <w:tcW w:w="84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0.84%</w:t>
            </w:r>
          </w:p>
        </w:tc>
      </w:tr>
      <w:tr>
        <w:trPr>
          <w:trHeight w:val="20"/>
        </w:trPr>
        <w:tc>
          <w:tcPr>
            <w:tcW w:w="84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80" w:firstLine="486"/>
        <w:spacing w:after="0" w:line="258" w:lineRule="auto"/>
        <w:rPr>
          <w:sz w:val="20"/>
          <w:szCs w:val="20"/>
          <w:color w:val="auto"/>
        </w:rPr>
      </w:pPr>
      <w:r>
        <w:rPr>
          <w:rFonts w:ascii="Times New Roman" w:cs="Times New Roman" w:eastAsia="Times New Roman" w:hAnsi="Times New Roman"/>
          <w:sz w:val="18"/>
          <w:szCs w:val="18"/>
          <w:color w:val="auto"/>
        </w:rPr>
        <w:t>On August 16, 2022, the U.S. enacted the Inflation Reduction Act of 2022 (“IRA”). The IRA contains certain tax measures, including a corporate alternative minimum tax of 15% on some large corporations and an excise tax of 1% on corporate stock repurchases. The provisions of the IRA did not have an impact on the Company’s consolidated financial statements for the year ended December 31, 2024, as the Company currently does not qualify as a large corporation for the 15% alternative minimum tax and there were no stock repurchases during 2023. The Company will monitor its operations for changes that could impact the applicability of the IRA provisions in future tax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Business and Geographical Reporting Segments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organized its business into two operating segments to better align its organization based upon the Company’s management structure, products and services offered, markets served and types of customers. The Dermatology Recurring Procedures segment derives its revenues from the usage of its equipment by dermatologists to perform XTRAC and TheraClear procedures. The Dermatology Procedures Equipment segment generates revenues from the sale of equipment, such as lasers and lamp products. The Company’s chief operating decision maker (“CODM”) is the chief executive officer. The CODM reviews financial information presented on an operating segment basis for the purposes of making certain operating decisions and assessing financial performance.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Unallocated operating expenses include costs that are not specific to a particular segment but are general to the group; included are expenses incurred for administrative and accounting staff, general liability and other insurance, professional fees and other similar corporate expenses. Interest and other financing income (expense) is also not allocated to the operating segments.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results of operations from the Company’s business segments for the periods indicated below (in thousands, except gross profit %):</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Dermatology</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Dermatology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Recurring</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0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100" w:type="dxa"/>
            <w:vAlign w:val="bottom"/>
          </w:tcPr>
          <w:p>
            <w:pPr>
              <w:spacing w:after="0"/>
              <w:rPr>
                <w:sz w:val="21"/>
                <w:szCs w:val="21"/>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220" w:type="dxa"/>
            <w:vAlign w:val="bottom"/>
          </w:tcPr>
          <w:p>
            <w:pPr>
              <w:spacing w:after="0"/>
              <w:rPr>
                <w:sz w:val="21"/>
                <w:szCs w:val="21"/>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21,171</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33,562</w:t>
            </w:r>
          </w:p>
        </w:tc>
        <w:tc>
          <w:tcPr>
            <w:tcW w:w="160" w:type="dxa"/>
            <w:vAlign w:val="bottom"/>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6,588</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14,481</w:t>
            </w:r>
          </w:p>
        </w:tc>
      </w:tr>
      <w:tr>
        <w:trPr>
          <w:trHeight w:val="223"/>
        </w:trPr>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r>
      <w:tr>
        <w:trPr>
          <w:trHeight w:val="216"/>
        </w:trPr>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Allocated expenses: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w:t>
            </w: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12,289</w:t>
            </w: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3,861</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11,303</w:t>
            </w:r>
          </w:p>
        </w:tc>
      </w:tr>
      <w:tr>
        <w:trPr>
          <w:trHeight w:val="223"/>
        </w:trPr>
        <w:tc>
          <w:tcPr>
            <w:tcW w:w="7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allocated and unallocated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28,336</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4,335</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(9,255)</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(2,107)</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864</w:t>
            </w:r>
          </w:p>
        </w:tc>
      </w:tr>
      <w:tr>
        <w:trPr>
          <w:trHeight w:val="27"/>
        </w:trPr>
        <w:tc>
          <w:tcPr>
            <w:tcW w:w="7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before benefit from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4,335</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(10,256)</w:t>
            </w:r>
          </w:p>
        </w:tc>
      </w:tr>
      <w:tr>
        <w:trPr>
          <w:trHeight w:val="21"/>
        </w:trPr>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Dermatology</w:t>
            </w: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Dermatology</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Recurring</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100" w:type="dxa"/>
            <w:vAlign w:val="bottom"/>
          </w:tcPr>
          <w:p>
            <w:pPr>
              <w:spacing w:after="0"/>
              <w:rPr>
                <w:sz w:val="21"/>
                <w:szCs w:val="21"/>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220" w:type="dxa"/>
            <w:vAlign w:val="bottom"/>
          </w:tcPr>
          <w:p>
            <w:pPr>
              <w:spacing w:after="0"/>
              <w:rPr>
                <w:sz w:val="21"/>
                <w:szCs w:val="21"/>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33,358</w:t>
            </w:r>
          </w:p>
        </w:tc>
        <w:tc>
          <w:tcPr>
            <w:tcW w:w="160" w:type="dxa"/>
            <w:vAlign w:val="bottom"/>
            <w:shd w:val="clear" w:color="auto" w:fill="CCEEFF"/>
          </w:tcPr>
          <w:p>
            <w:pPr>
              <w:spacing w:after="0"/>
              <w:rPr>
                <w:sz w:val="18"/>
                <w:szCs w:val="18"/>
                <w:color w:val="auto"/>
              </w:rPr>
            </w:pP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6,168</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14,897</w:t>
            </w:r>
          </w:p>
        </w:tc>
      </w:tr>
      <w:tr>
        <w:trPr>
          <w:trHeight w:val="223"/>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45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Allocated expenses: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Engineering and product development</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1,317</w:t>
            </w: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12,956</w:t>
            </w:r>
          </w:p>
        </w:tc>
      </w:tr>
      <w:tr>
        <w:trPr>
          <w:trHeight w:val="216"/>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2,284</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10,508</w:t>
            </w:r>
          </w:p>
        </w:tc>
      </w:tr>
      <w:tr>
        <w:trPr>
          <w:trHeight w:val="223"/>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allocated and unallocated expenses</w:t>
            </w:r>
          </w:p>
        </w:tc>
        <w:tc>
          <w:tcPr>
            <w:tcW w:w="2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3,567</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(8,604)</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w:t>
            </w:r>
          </w:p>
        </w:tc>
      </w:tr>
      <w:tr>
        <w:trPr>
          <w:trHeight w:val="27"/>
        </w:trPr>
        <w:tc>
          <w:tcPr>
            <w:tcW w:w="45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income before benefit from income taxes</w:t>
            </w:r>
          </w:p>
        </w:tc>
        <w:tc>
          <w:tcPr>
            <w:tcW w:w="2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3,567</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(10,922)</w:t>
            </w:r>
          </w:p>
        </w:tc>
      </w:tr>
      <w:tr>
        <w:trPr>
          <w:trHeight w:val="20"/>
        </w:trPr>
        <w:tc>
          <w:tcPr>
            <w:tcW w:w="45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64"/>
        </w:trPr>
        <w:tc>
          <w:tcPr>
            <w:tcW w:w="4560" w:type="dxa"/>
            <w:vAlign w:val="bottom"/>
          </w:tcPr>
          <w:p>
            <w:pPr>
              <w:spacing w:after="0"/>
              <w:rPr>
                <w:sz w:val="24"/>
                <w:szCs w:val="24"/>
                <w:color w:val="auto"/>
              </w:rPr>
            </w:pPr>
          </w:p>
        </w:tc>
        <w:tc>
          <w:tcPr>
            <w:tcW w:w="2760" w:type="dxa"/>
            <w:vAlign w:val="bottom"/>
            <w:gridSpan w:val="2"/>
          </w:tcPr>
          <w:p>
            <w:pPr>
              <w:jc w:val="right"/>
              <w:ind w:right="1473"/>
              <w:spacing w:after="0"/>
              <w:rPr>
                <w:sz w:val="20"/>
                <w:szCs w:val="20"/>
                <w:color w:val="auto"/>
              </w:rPr>
            </w:pPr>
            <w:r>
              <w:rPr>
                <w:rFonts w:ascii="Times New Roman" w:cs="Times New Roman" w:eastAsia="Times New Roman" w:hAnsi="Times New Roman"/>
                <w:sz w:val="14"/>
                <w:szCs w:val="14"/>
                <w:color w:val="auto"/>
              </w:rPr>
              <w:t>F-30</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456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94"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86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w w:val="98"/>
              </w:rPr>
              <w:t>STRATA Skin Sciences, Inc. and Subsidiary</w:t>
            </w:r>
          </w:p>
        </w:tc>
        <w:tc>
          <w:tcPr>
            <w:tcW w:w="0" w:type="dxa"/>
            <w:vAlign w:val="bottom"/>
          </w:tcPr>
          <w:p>
            <w:pPr>
              <w:spacing w:after="0"/>
              <w:rPr>
                <w:sz w:val="1"/>
                <w:szCs w:val="1"/>
                <w:color w:val="auto"/>
              </w:rPr>
            </w:pPr>
          </w:p>
        </w:tc>
      </w:tr>
      <w:tr>
        <w:trPr>
          <w:trHeight w:val="39"/>
        </w:trPr>
        <w:tc>
          <w:tcPr>
            <w:tcW w:w="1020" w:type="dxa"/>
            <w:vAlign w:val="bottom"/>
          </w:tcPr>
          <w:p>
            <w:pPr>
              <w:spacing w:after="0"/>
              <w:rPr>
                <w:sz w:val="3"/>
                <w:szCs w:val="3"/>
                <w:color w:val="auto"/>
              </w:rPr>
            </w:pPr>
          </w:p>
        </w:tc>
        <w:tc>
          <w:tcPr>
            <w:tcW w:w="6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8"/>
        </w:trPr>
        <w:tc>
          <w:tcPr>
            <w:tcW w:w="1020" w:type="dxa"/>
            <w:vAlign w:val="bottom"/>
          </w:tcPr>
          <w:p>
            <w:pPr>
              <w:spacing w:after="0"/>
              <w:rPr>
                <w:sz w:val="20"/>
                <w:szCs w:val="20"/>
                <w:color w:val="auto"/>
              </w:rPr>
            </w:pPr>
          </w:p>
        </w:tc>
        <w:tc>
          <w:tcPr>
            <w:tcW w:w="686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years ended December 31, 2024 and 2023, depreciation and amortization by reportable segment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Dermatology recurring procedures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Dermatology procedures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Unallocated expenses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5,553</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geographical region for the years ended December 31, 2024 and 2023 (in thousands). Domestic refers to revenue from customers based in the United States, and foreign revenue is derived from the Company’s distributors primarily in Asia.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Dermatology</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Dermatology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Recurring</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10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19,531</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foreign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8,605</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33,562</w:t>
            </w:r>
          </w:p>
        </w:tc>
      </w:tr>
      <w:tr>
        <w:trPr>
          <w:trHeight w:val="21"/>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Dermatology</w:t>
            </w:r>
          </w:p>
        </w:tc>
        <w:tc>
          <w:tcPr>
            <w:tcW w:w="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Dermatology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Recurring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Procedures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3,340</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foreign</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11,828</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33,358</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8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As of December 31, 2024 and 2023, total assets by reportable segment were as follows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Dermatology recurring procedures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Dermatology procedures equipment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5,507</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unallocated assets</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42,016</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Long-lived assets of $1.3 million and $0.8 million were located in international markets, primarily Korea and Japan, as of December 31, 2024 and 2023, respectively, with the remainder located in domestic markets.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 w:right="339" w:bottom="1440" w:gutter="0" w:footer="0" w:header="0"/>
        </w:sectPr>
      </w:pPr>
    </w:p>
    <w:bookmarkStart w:id="93" w:name="page94"/>
    <w:bookmarkEnd w:id="93"/>
    <w:p>
      <w:pPr>
        <w:ind w:left="10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description of the material provisions of our capital stock does not purport to be complete and is based on and qualified by our Certificate of Incorporation, as amended and restated (the “Charter”), our Bylaws, and our Warrant Agreement to Purchase Shares of the Common Stock of STRATA Skin Sciences, Inc., dated as of June 30, 2023, between us and MidCap Funding XXVII Trust (“Warrant Agreement”), each of which is incorporated by reference in the registration statement of which this prospectus is a part. The summary below is also qualified by reference to provisions of the Delaware General Corporation Law (“DGCL”).</w:t>
      </w:r>
    </w:p>
    <w:p>
      <w:pPr>
        <w:spacing w:after="0" w:line="183"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authorized capital stock consists of 160,000,000 shares, consisting of 150,000,000 shares of common stock, $0.001 par value per share, and 10,000,000 shares of preferred stock, $0.001 par value per share. As of December 31, 2024, our outstanding capital stock consists of 4,171,161 shares of common stock, and no shares of preferred stock. These figures do not include (i) securities that may be issued upon exercise or vesting of our outstanding derivative securities, including our options to purchase shares of common stock and restricted stock units under our equity incentive plans, and a stock purchase warrant.</w:t>
      </w:r>
    </w:p>
    <w:p>
      <w:pPr>
        <w:spacing w:after="0" w:line="183"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We, directly or through agents, dealers or underwriters designated from time to time, may offer, issue and sell, together or separately, up to $25,000,000 in the aggregate of:</w:t>
      </w:r>
    </w:p>
    <w:p>
      <w:pPr>
        <w:spacing w:after="0" w:line="162" w:lineRule="exact"/>
        <w:rPr>
          <w:sz w:val="20"/>
          <w:szCs w:val="20"/>
          <w:color w:val="auto"/>
        </w:rPr>
      </w:pPr>
    </w:p>
    <w:p>
      <w:pPr>
        <w:ind w:left="800" w:hanging="333"/>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7"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w:t>
      </w:r>
    </w:p>
    <w:p>
      <w:pPr>
        <w:spacing w:after="0" w:line="9" w:lineRule="exact"/>
        <w:rPr>
          <w:rFonts w:ascii="Times New Roman" w:cs="Times New Roman" w:eastAsia="Times New Roman" w:hAnsi="Times New Roman"/>
          <w:sz w:val="18"/>
          <w:szCs w:val="18"/>
          <w:color w:val="auto"/>
        </w:rPr>
      </w:pPr>
    </w:p>
    <w:p>
      <w:pPr>
        <w:ind w:left="800" w:right="360" w:hanging="333"/>
        <w:spacing w:after="0" w:line="250" w:lineRule="auto"/>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w:t>
      </w:r>
    </w:p>
    <w:p>
      <w:pPr>
        <w:ind w:left="800" w:hanging="333"/>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9"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purchase our securities; or</w:t>
      </w:r>
    </w:p>
    <w:p>
      <w:pPr>
        <w:spacing w:after="0" w:line="9"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0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We may issue the debt securities as exchangeable for or convertible into shares of common stock, preferred stock or other securities. The preferred stock may also be exchangeable for and/or convertible into shares of common stock, another series of preferred stock or other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4,171,161 shares of common stock issued and outstanding. The outstanding shares of common stock are duly authorized, validly issued, fully paid and non-assessable.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227"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Except as otherwise required by law or as provided in any certificate of designation for any series of Preferred Stock, the holders of common stock possess all the voting power for the election of our directors and all other matters requiring stockholder action.</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Holders of common stock are entitled to one vote per share held of record on matters to be voted on by stockholders.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our board of directors in its discretion out of funds legally available therefor and shall share equally on a per share basis in such dividends and distributions, provided that such holder is not an Unsuitable Person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t>Liquidation, Dissolution and Winding-Up</w:t>
      </w:r>
    </w:p>
    <w:p>
      <w:pPr>
        <w:spacing w:after="0" w:line="227"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In the event of our voluntary or involuntary liquidation, dissolution, distribution of assets or winding-up, the holders of our common stock will be entitled to receive an equal amount per share of all of our assets of whatever kind available for distribution to stockholders, after the rights of our creditors and the rights of holders of Preferred Stock, if any, have been satisfied.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are no sinking fund provisions applicable to the common stock. Our stockholders have no preemptive or other subscription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has the authority to issue up to an aggregate of 10,000,000 shares of Preferred Stock in one or more series, and to fix the designations, preferences, rights, qualifications, limitations and restrictions thereof or thereon, without any further vote or action by the stockholders. No shares of Preferred Stock are outstanding as of the date hereof.</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You should refer to any filing with the SEC relating to the series of preferred stock being offered for the specific terms of that series, including:</w:t>
      </w:r>
    </w:p>
    <w:p>
      <w:pPr>
        <w:spacing w:after="0" w:line="225" w:lineRule="exact"/>
        <w:rPr>
          <w:sz w:val="20"/>
          <w:szCs w:val="20"/>
          <w:color w:val="auto"/>
        </w:rPr>
      </w:pPr>
    </w:p>
    <w:p>
      <w:pPr>
        <w:ind w:left="760" w:hanging="334"/>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and the number of shares in the series;</w:t>
      </w:r>
    </w:p>
    <w:p>
      <w:pPr>
        <w:spacing w:after="0" w:line="27"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offered;</w:t>
      </w:r>
    </w:p>
    <w:p>
      <w:pPr>
        <w:spacing w:after="0" w:line="9" w:lineRule="exact"/>
        <w:rPr>
          <w:rFonts w:ascii="Times New Roman" w:cs="Times New Roman" w:eastAsia="Times New Roman" w:hAnsi="Times New Roman"/>
          <w:sz w:val="18"/>
          <w:szCs w:val="18"/>
          <w:color w:val="auto"/>
        </w:rPr>
      </w:pPr>
    </w:p>
    <w:p>
      <w:pPr>
        <w:ind w:left="760" w:right="160" w:hanging="334"/>
        <w:spacing w:after="0" w:line="25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rates or method of calculating the rates, the dates on which the dividends will be payable, whether or not dividends will be cumulative or noncumulative and, if cumulative, the dates from which dividends on the preferred stock being offered will cumulate;</w:t>
      </w:r>
    </w:p>
    <w:p>
      <w:pPr>
        <w:ind w:left="760" w:hanging="334"/>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shares of the preferred stock being offered;</w:t>
      </w:r>
    </w:p>
    <w:p>
      <w:pPr>
        <w:spacing w:after="0" w:line="9" w:lineRule="exact"/>
        <w:rPr>
          <w:rFonts w:ascii="Times New Roman" w:cs="Times New Roman" w:eastAsia="Times New Roman" w:hAnsi="Times New Roman"/>
          <w:sz w:val="18"/>
          <w:szCs w:val="18"/>
          <w:color w:val="auto"/>
        </w:rPr>
      </w:pPr>
    </w:p>
    <w:p>
      <w:pPr>
        <w:ind w:left="760" w:right="340" w:hanging="334"/>
        <w:spacing w:after="0" w:line="25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and the provisions for redemption, if applicable, of the preferred stock being offered, including any restrictions on the foregoing as a result of arrearage in the payment of dividends or sinking fund installments;</w:t>
      </w:r>
    </w:p>
    <w:p>
      <w:pPr>
        <w:ind w:left="760" w:hanging="334"/>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9" w:lineRule="exact"/>
        <w:rPr>
          <w:rFonts w:ascii="Times New Roman" w:cs="Times New Roman" w:eastAsia="Times New Roman" w:hAnsi="Times New Roman"/>
          <w:sz w:val="18"/>
          <w:szCs w:val="18"/>
          <w:color w:val="auto"/>
        </w:rPr>
      </w:pPr>
    </w:p>
    <w:p>
      <w:pPr>
        <w:ind w:left="760" w:right="180" w:hanging="334"/>
        <w:spacing w:after="0" w:line="25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being offered will be convertible into our common stock, including the conversion price, or the manner of calculating the conversion price, and the conversion period;</w:t>
      </w:r>
    </w:p>
    <w:p>
      <w:pPr>
        <w:ind w:left="760" w:right="400" w:hanging="334"/>
        <w:spacing w:after="0" w:line="25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being offered will be exchangeable for debt securities, including the exchange price, or the manner of calculating the exchange price, and the exchange period;</w:t>
      </w:r>
    </w:p>
    <w:p>
      <w:pPr>
        <w:ind w:left="760" w:hanging="334"/>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being offered on any securities exchange;</w:t>
      </w:r>
    </w:p>
    <w:p>
      <w:pPr>
        <w:spacing w:after="0" w:line="9"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federal income tax considerations applicable to the preferred stock being offered;</w:t>
      </w:r>
    </w:p>
    <w:p>
      <w:pPr>
        <w:spacing w:after="0" w:line="9" w:lineRule="exact"/>
        <w:rPr>
          <w:rFonts w:ascii="Times New Roman" w:cs="Times New Roman" w:eastAsia="Times New Roman" w:hAnsi="Times New Roman"/>
          <w:sz w:val="18"/>
          <w:szCs w:val="18"/>
          <w:color w:val="auto"/>
        </w:rPr>
      </w:pPr>
    </w:p>
    <w:p>
      <w:pPr>
        <w:ind w:left="760" w:hanging="334"/>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preemptive rights;</w:t>
      </w:r>
    </w:p>
    <w:p>
      <w:pPr>
        <w:spacing w:after="0" w:line="9" w:lineRule="exact"/>
        <w:rPr>
          <w:rFonts w:ascii="Times New Roman" w:cs="Times New Roman" w:eastAsia="Times New Roman" w:hAnsi="Times New Roman"/>
          <w:sz w:val="18"/>
          <w:szCs w:val="18"/>
          <w:color w:val="auto"/>
        </w:rPr>
      </w:pPr>
    </w:p>
    <w:p>
      <w:pPr>
        <w:ind w:left="760" w:right="400" w:hanging="334"/>
        <w:spacing w:after="0" w:line="25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being offered as to dividend rights and rights upon liquidation, dissolution or the winding up of our affairs;</w:t>
      </w:r>
    </w:p>
    <w:p>
      <w:pPr>
        <w:ind w:left="760" w:hanging="334"/>
        <w:spacing w:after="0" w:line="250"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stock ranking senior or equal to the series of preferred stock being offered as to dividend rights and rights upon liquidation, dissolution or the winding up of our affairs; and</w:t>
      </w:r>
    </w:p>
    <w:p>
      <w:pPr>
        <w:ind w:left="760" w:hanging="334"/>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rights, preferences, qualifications, limitations and restrictions of the series.</w:t>
      </w:r>
    </w:p>
    <w:p>
      <w:pPr>
        <w:spacing w:after="0" w:line="20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Upon issuance, the shares of preferred stock will be fully paid and nonassessable, which means that its holders will have paid their purchase price in full and we may not require them to pay additional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95" w:name="page96"/>
    <w:bookmarkEnd w:id="95"/>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Any preferred stock terms selected by our board of directors could decrease the amount of earnings and assets available for distribution to holders of our common stock or adversely affect the rights and power, including voting rights, of the holders of our common stock without any further vote or action by the stockholders. The rights of holders of our common stock will be subject to, and may be adversely affected by, the rights of the holders of any preferred stock that may be issued by us in the future. The issuance of preferred stock could also have the effect of delaying or preventing a change in control of our company or make removal of management more difficult.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Our Charter and Bylaws and Certain Provisions of Delaware Law</w:t>
      </w:r>
    </w:p>
    <w:p>
      <w:pPr>
        <w:spacing w:after="0" w:line="22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Our Charter and Bylaws contain provisions that could have the effect of delaying or preventing changes in control or changes in our management without the consent of our board of directors. These provisions include:</w:t>
      </w:r>
    </w:p>
    <w:p>
      <w:pPr>
        <w:spacing w:after="0" w:line="162" w:lineRule="exact"/>
        <w:rPr>
          <w:sz w:val="20"/>
          <w:szCs w:val="20"/>
          <w:color w:val="auto"/>
        </w:rPr>
      </w:pPr>
    </w:p>
    <w:p>
      <w:pPr>
        <w:ind w:left="800" w:hanging="333"/>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7" w:lineRule="exact"/>
        <w:rPr>
          <w:rFonts w:ascii="Times New Roman" w:cs="Times New Roman" w:eastAsia="Times New Roman" w:hAnsi="Times New Roman"/>
          <w:sz w:val="18"/>
          <w:szCs w:val="18"/>
          <w:color w:val="auto"/>
        </w:rPr>
      </w:pPr>
    </w:p>
    <w:p>
      <w:pPr>
        <w:ind w:left="800" w:right="60" w:hanging="333"/>
        <w:spacing w:after="0" w:line="250"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with or without cause by stockholders, which prevents stockholders from being able to fill vacancies on our board of directors;</w:t>
      </w:r>
    </w:p>
    <w:p>
      <w:pPr>
        <w:spacing w:after="0" w:line="1" w:lineRule="exact"/>
        <w:rPr>
          <w:rFonts w:ascii="Times New Roman" w:cs="Times New Roman" w:eastAsia="Times New Roman" w:hAnsi="Times New Roman"/>
          <w:sz w:val="18"/>
          <w:szCs w:val="18"/>
          <w:color w:val="auto"/>
        </w:rPr>
      </w:pPr>
    </w:p>
    <w:p>
      <w:pPr>
        <w:ind w:left="800" w:right="40" w:hanging="333"/>
        <w:spacing w:after="0" w:line="250"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9"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the Court of Chancery of the State of Delaware as the exclusive forum for adjudication of disputes;</w:t>
      </w:r>
    </w:p>
    <w:p>
      <w:pPr>
        <w:spacing w:after="0" w:line="9"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over the procedures for the conduct and scheduling of stockholder meetings; and</w:t>
      </w:r>
    </w:p>
    <w:p>
      <w:pPr>
        <w:spacing w:after="0" w:line="9" w:lineRule="exact"/>
        <w:rPr>
          <w:rFonts w:ascii="Times New Roman" w:cs="Times New Roman" w:eastAsia="Times New Roman" w:hAnsi="Times New Roman"/>
          <w:sz w:val="18"/>
          <w:szCs w:val="18"/>
          <w:color w:val="auto"/>
        </w:rPr>
      </w:pPr>
    </w:p>
    <w:p>
      <w:pPr>
        <w:ind w:left="800" w:right="40" w:hanging="333"/>
        <w:spacing w:after="0" w:line="255" w:lineRule="auto"/>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6" w:lineRule="exact"/>
        <w:rPr>
          <w:sz w:val="20"/>
          <w:szCs w:val="20"/>
          <w:color w:val="auto"/>
        </w:rPr>
      </w:pPr>
    </w:p>
    <w:p>
      <w:pPr>
        <w:ind w:right="980" w:firstLine="486"/>
        <w:spacing w:after="0" w:line="282" w:lineRule="auto"/>
        <w:rPr>
          <w:sz w:val="20"/>
          <w:szCs w:val="20"/>
          <w:color w:val="auto"/>
        </w:rPr>
      </w:pPr>
      <w:r>
        <w:rPr>
          <w:rFonts w:ascii="Times New Roman" w:cs="Times New Roman" w:eastAsia="Times New Roman" w:hAnsi="Times New Roman"/>
          <w:sz w:val="18"/>
          <w:szCs w:val="18"/>
          <w:color w:val="auto"/>
        </w:rPr>
        <w:t>These provisions, singly or together, could delay hostile takeovers and changes in control of us or changes in our board of directors and management.</w:t>
      </w:r>
    </w:p>
    <w:p>
      <w:pPr>
        <w:spacing w:after="0" w:line="16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which prevents some stockholders holding more than 15% of our outstanding common stock from engaging in certain business combinations without approval of the holders of substantially all of our outstanding common stock. Any provision of our Charter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MidCap Warrant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2024, there is a warrant outstanding exercisable for 80,000 shares of common stock (the “Warrant”) at an exercise price equal to $8.80 per share for a 10-year period ending on June 30, 2033. The Warrant was originally issued in connection with a loan and security agreement between us and MidCap. The Company has registered the shares underlying the Warrant.</w:t>
      </w:r>
    </w:p>
    <w:p>
      <w:pPr>
        <w:spacing w:after="0" w:line="176"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Warrant provides that the holder thereof may elect to exercise the warrant on a net “cashless” basis at any time prior to the expiration thereof. Pursuant to a registration rights agreement, we agreed to file a registration statement covering the resale of the shares underlying the Warrant, which such registration statement was declared effective August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ind w:firstLine="486"/>
        <w:spacing w:after="0" w:line="252" w:lineRule="auto"/>
        <w:rPr>
          <w:sz w:val="20"/>
          <w:szCs w:val="20"/>
          <w:color w:val="auto"/>
        </w:rPr>
      </w:pPr>
      <w:r>
        <w:rPr>
          <w:rFonts w:ascii="Times New Roman" w:cs="Times New Roman" w:eastAsia="Times New Roman" w:hAnsi="Times New Roman"/>
          <w:sz w:val="18"/>
          <w:szCs w:val="18"/>
          <w:color w:val="auto"/>
        </w:rPr>
        <w:t>In connection with a Merger Event (defined below) that is a Liquid Sale (defined below) where the value per share of our common stock is greater than the exercise price then in effect, the Warrant shall, on and after the closing of the Merger Event, automatically and without further action on the part of any party or other person, represent the right to receive, in lieu of the shares of our common stock that are issuable under the Warrant Agreement as of immediately prior to the closing of such Merger Event, the consideration payable on or in respect of such shares of our common stock less the amount equal to then-effective exercise price multiplied by the number of shares of our common stock as to which the Warrant is then exercised (such amount being the “purchase price”) for all such shares of our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holder of the Warrant as and when it is paid to the holders of the outstanding shares of our common stock; provided, however, in the event of a Merger Event that is an arm’s length sale of all or substantially all of our assets (and only its assets) to a third party that is not an affiliate of us (a “True Asset Sale”), the holder of the Warrant may either (a) exercise its conversion or purchase right under the Warrant and such exercise will be deemed effective immediately prior to the consummation of such Merger Event, or (b) permit the Warrant to continue for the term of the Warrant Agreement if we continue as a going concern following the closing of any such True Asset Sale. In connection with a Merger Event that is not a Liquid Sale, we shall cause the successor or surviving entity to assume the Warrant Agreement and our obligations thereunder on the closing thereof, and thereafter the Warrant shall be exercisable for the same number, class, and type of securities or other property as the holder of the Warrant would have received in consideration for the shares of our common stock issuable under the Warrant Agreement had it exercised the Warrant in full as of immediately prior to such closing, at an aggregate exercise price no greater than the aggregate exercise price in effect as of immediately prior to such closing, and subject to further adjustment from time to time in accordance with the provisions of this Agreement. This provision shall similarly apply to successive Merger Events. For purposes of this section of the Prospectus:</w:t>
      </w:r>
    </w:p>
    <w:p>
      <w:pPr>
        <w:spacing w:after="0" w:line="191" w:lineRule="exact"/>
        <w:rPr>
          <w:sz w:val="20"/>
          <w:szCs w:val="20"/>
          <w:color w:val="auto"/>
        </w:rPr>
      </w:pPr>
    </w:p>
    <w:p>
      <w:pPr>
        <w:ind w:left="800" w:right="160" w:hanging="333"/>
        <w:spacing w:after="0" w:line="258" w:lineRule="auto"/>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Event” means any of the following: (i) a sale, lease or other transfer of all or substantially all of our assets, (ii) any merger or consolidation involving us in which we are not the surviving entity or in which our outstanding shares of capital stock are otherwise converted into or exchanged for shares of capital stock or other securities or property of another entity or converted into the right to receive cash, or (iii) any sale by holders of our outstanding voting equity securities in a single transaction or series of related transactions of shares constituting a majority of the outstanding combined voting power of us; and</w:t>
      </w:r>
    </w:p>
    <w:p>
      <w:pPr>
        <w:spacing w:after="0" w:line="183" w:lineRule="exact"/>
        <w:rPr>
          <w:rFonts w:ascii="Times New Roman" w:cs="Times New Roman" w:eastAsia="Times New Roman" w:hAnsi="Times New Roman"/>
          <w:sz w:val="18"/>
          <w:szCs w:val="18"/>
          <w:color w:val="auto"/>
        </w:rPr>
      </w:pPr>
    </w:p>
    <w:p>
      <w:pPr>
        <w:ind w:left="800" w:right="80" w:hanging="333"/>
        <w:spacing w:after="0" w:line="282" w:lineRule="auto"/>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 Sale” means the closing of a Merger Event in which the consideration received by us and/or our stockholders, as applicable, consists solely of cash and/or securities meeting all of the following requirements:</w:t>
      </w:r>
    </w:p>
    <w:p>
      <w:pPr>
        <w:spacing w:after="0" w:line="162" w:lineRule="exact"/>
        <w:rPr>
          <w:sz w:val="20"/>
          <w:szCs w:val="20"/>
          <w:color w:val="auto"/>
        </w:rPr>
      </w:pPr>
    </w:p>
    <w:p>
      <w:pPr>
        <w:ind w:left="1440" w:hanging="325"/>
        <w:spacing w:after="0" w:line="282" w:lineRule="auto"/>
        <w:tabs>
          <w:tab w:leader="none" w:pos="1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thereof is then subject to the reporting requirements of Section 13 or Section 15(d) of the Exchange Act and is then current in its filing of all required reports and other information under the Act and the Exchange Act;</w:t>
      </w:r>
    </w:p>
    <w:p>
      <w:pPr>
        <w:spacing w:after="0" w:line="161" w:lineRule="exact"/>
        <w:rPr>
          <w:rFonts w:ascii="Times New Roman" w:cs="Times New Roman" w:eastAsia="Times New Roman" w:hAnsi="Times New Roman"/>
          <w:sz w:val="18"/>
          <w:szCs w:val="18"/>
          <w:color w:val="auto"/>
        </w:rPr>
      </w:pPr>
    </w:p>
    <w:p>
      <w:pPr>
        <w:ind w:left="1440" w:right="80" w:hanging="325"/>
        <w:spacing w:after="0" w:line="266" w:lineRule="auto"/>
        <w:tabs>
          <w:tab w:leader="none" w:pos="1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series of shares or other security of the issuer that would be received by the holder of the Warrant in connection with the Merger Event were the holder to exercise the Warrant on or prior to the closing thereof is then traded on a national securities exchange or over-the-counter market; and</w:t>
      </w:r>
    </w:p>
    <w:p>
      <w:pPr>
        <w:spacing w:after="0" w:line="175" w:lineRule="exact"/>
        <w:rPr>
          <w:rFonts w:ascii="Times New Roman" w:cs="Times New Roman" w:eastAsia="Times New Roman" w:hAnsi="Times New Roman"/>
          <w:sz w:val="18"/>
          <w:szCs w:val="18"/>
          <w:color w:val="auto"/>
        </w:rPr>
      </w:pPr>
    </w:p>
    <w:p>
      <w:pPr>
        <w:ind w:left="1440" w:right="320" w:hanging="325"/>
        <w:spacing w:after="0" w:line="258" w:lineRule="auto"/>
        <w:tabs>
          <w:tab w:leader="none" w:pos="1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of such Merger Event, the holder of the Warrant would not be restricted from publicly re- selling all of the issuer’s shares and/or other securities that would be received by the holder in such Merger Event were the holder to exercise the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7" w:name="page98"/>
    <w:bookmarkEnd w:id="97"/>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Except for Merger Events discussed above, if we at any time shall, by combination, reclassification, exchange or subdivision of securities or otherwise, change any of the securities as to which purchase rights under the Warrant Agreement exist into the same or a different number of securities of any other class or classes of securities, the Warrant Agreement shall thereafter represent the right to acquire such number and kind of securities as would have been issuable as the result of such change with respect to the securities which were subject to the purchase rights under the Warrant Agreement immediately prior to such combination, reclassification, exchange, subdivision or other change. This provision shall similarly apply to successive combination, reclassification, exchange, subdivision or other change.</w:t>
      </w:r>
    </w:p>
    <w:p>
      <w:pPr>
        <w:spacing w:after="0" w:line="187"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If we at any time shall combine or subdivide our common stock, (i) in the case of a subdivision, the exercise price of the Warrant shall be proportionately decreased and the number of shares for which the Warrant is exercisable shall be proportionately increased, or (ii) in the case of a combination, the exercise price of the Warrant shall be proportionately increased and the number of shares for which the Warrant is exercisable shall be proportionately decreased.</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If we at any time while the Warrant Agreement is outstanding and unexpired shall pay a dividend with respect to the outstanding shares of our common stock payable in additional shares of our common stock, then the exercise price of the Warrant shall be adjusted to that price determined by multiplying the exercise price in effect immediately prior to such date of determination by a fraction (i) the numerator of which shall be the total number of shares of our common stock outstanding immediately prior to such dividend or distribution, and (ii) the denominator of which shall be the total number of shares of our common stock outstanding immediately after such dividend or distribution, and the number of shares of our common stock for which the Warrant is exercisable shall be proportionately increased.</w:t>
      </w:r>
    </w:p>
    <w:p>
      <w:pPr>
        <w:spacing w:after="0" w:line="187" w:lineRule="exact"/>
        <w:rPr>
          <w:sz w:val="20"/>
          <w:szCs w:val="20"/>
          <w:color w:val="auto"/>
        </w:rPr>
      </w:pPr>
    </w:p>
    <w:p>
      <w:pPr>
        <w:jc w:val="both"/>
        <w:ind w:right="40" w:firstLine="486"/>
        <w:spacing w:after="0" w:line="258" w:lineRule="auto"/>
        <w:rPr>
          <w:sz w:val="20"/>
          <w:szCs w:val="20"/>
          <w:color w:val="auto"/>
        </w:rPr>
      </w:pPr>
      <w:r>
        <w:rPr>
          <w:rFonts w:ascii="Times New Roman" w:cs="Times New Roman" w:eastAsia="Times New Roman" w:hAnsi="Times New Roman"/>
          <w:sz w:val="18"/>
          <w:szCs w:val="18"/>
          <w:color w:val="auto"/>
        </w:rPr>
        <w:t>If we at any time while the Warrant Agreement is outstanding and unexpired shall make any other dividend or distribution on or with respect to our common stock, except any dividend or distribution (i) in cash, or (ii) specifically provided for in any other clause of the Warrant Agreement, then, in each such case, provision shall be made by us such that the holder of the Warrant shall receive upon exercise or conversion of the Warrant a proportionate share of any such distribution as though it were the holder of our common stock (or other stock for which our common stock is convertible) as of the record date fixed for the determination of our stockholders entitled to receive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19.1</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540" w:type="dxa"/>
            <w:vAlign w:val="bottom"/>
            <w:tcBorders>
              <w:top w:val="single" w:sz="8" w:color="auto"/>
              <w:left w:val="single" w:sz="8" w:color="auto"/>
              <w:bottom w:val="single" w:sz="8" w:color="auto"/>
            </w:tcBorders>
          </w:tcPr>
          <w:p>
            <w:pPr>
              <w:spacing w:after="0"/>
              <w:rPr>
                <w:sz w:val="21"/>
                <w:szCs w:val="21"/>
                <w:color w:val="auto"/>
              </w:rPr>
            </w:pPr>
          </w:p>
        </w:tc>
        <w:tc>
          <w:tcPr>
            <w:tcW w:w="34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w w:val="99"/>
              </w:rPr>
              <w:t>STRATA SKIN SCIENCES, INC.</w:t>
            </w:r>
          </w:p>
        </w:tc>
        <w:tc>
          <w:tcPr>
            <w:tcW w:w="480" w:type="dxa"/>
            <w:vAlign w:val="bottom"/>
            <w:tcBorders>
              <w:top w:val="single" w:sz="8" w:color="auto"/>
              <w:bottom w:val="single" w:sz="8" w:color="auto"/>
            </w:tcBorders>
          </w:tcPr>
          <w:p>
            <w:pPr>
              <w:spacing w:after="0"/>
              <w:rPr>
                <w:sz w:val="21"/>
                <w:szCs w:val="21"/>
                <w:color w:val="auto"/>
              </w:rPr>
            </w:pPr>
          </w:p>
        </w:tc>
        <w:tc>
          <w:tcPr>
            <w:tcW w:w="3780" w:type="dxa"/>
            <w:vAlign w:val="bottom"/>
            <w:tcBorders>
              <w:top w:val="single" w:sz="8" w:color="auto"/>
              <w:bottom w:val="single" w:sz="8" w:color="auto"/>
              <w:right w:val="single" w:sz="8" w:color="auto"/>
            </w:tcBorders>
          </w:tcPr>
          <w:p>
            <w:pPr>
              <w:spacing w:after="0"/>
              <w:rPr>
                <w:sz w:val="21"/>
                <w:szCs w:val="21"/>
                <w:color w:val="auto"/>
              </w:rPr>
            </w:pPr>
          </w:p>
        </w:tc>
      </w:tr>
      <w:tr>
        <w:trPr>
          <w:trHeight w:val="439"/>
        </w:trPr>
        <w:tc>
          <w:tcPr>
            <w:tcW w:w="3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INSIDER TRADING POLICY</w:t>
            </w:r>
          </w:p>
        </w:tc>
        <w:tc>
          <w:tcPr>
            <w:tcW w:w="480" w:type="dxa"/>
            <w:vAlign w:val="bottom"/>
            <w:tcBorders>
              <w:bottom w:val="single" w:sz="8" w:color="auto"/>
              <w:right w:val="single" w:sz="8" w:color="auto"/>
            </w:tcBorders>
          </w:tcPr>
          <w:p>
            <w:pPr>
              <w:spacing w:after="0"/>
              <w:rPr>
                <w:sz w:val="24"/>
                <w:szCs w:val="24"/>
                <w:color w:val="auto"/>
              </w:rPr>
            </w:pPr>
          </w:p>
        </w:tc>
        <w:tc>
          <w:tcPr>
            <w:tcW w:w="37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Policy #: </w:t>
            </w:r>
            <w:r>
              <w:rPr>
                <w:rFonts w:ascii="Times New Roman" w:cs="Times New Roman" w:eastAsia="Times New Roman" w:hAnsi="Times New Roman"/>
                <w:sz w:val="18"/>
                <w:szCs w:val="18"/>
                <w:color w:val="auto"/>
              </w:rPr>
              <w:t>COM: 004</w:t>
            </w:r>
          </w:p>
        </w:tc>
      </w:tr>
      <w:tr>
        <w:trPr>
          <w:trHeight w:val="223"/>
        </w:trPr>
        <w:tc>
          <w:tcPr>
            <w:tcW w:w="3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Department Ownership:</w:t>
            </w:r>
          </w:p>
        </w:tc>
        <w:tc>
          <w:tcPr>
            <w:tcW w:w="3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Compliance</w:t>
            </w:r>
          </w:p>
        </w:tc>
        <w:tc>
          <w:tcPr>
            <w:tcW w:w="480" w:type="dxa"/>
            <w:vAlign w:val="bottom"/>
            <w:tcBorders>
              <w:bottom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r>
      <w:tr>
        <w:trPr>
          <w:trHeight w:val="223"/>
        </w:trPr>
        <w:tc>
          <w:tcPr>
            <w:tcW w:w="3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Approved by and Title:</w:t>
            </w:r>
          </w:p>
        </w:tc>
        <w:tc>
          <w:tcPr>
            <w:tcW w:w="3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Board of Directors</w:t>
            </w:r>
          </w:p>
        </w:tc>
        <w:tc>
          <w:tcPr>
            <w:tcW w:w="480" w:type="dxa"/>
            <w:vAlign w:val="bottom"/>
            <w:tcBorders>
              <w:bottom w:val="single" w:sz="8" w:color="auto"/>
            </w:tcBorders>
          </w:tcPr>
          <w:p>
            <w:pPr>
              <w:spacing w:after="0"/>
              <w:rPr>
                <w:sz w:val="19"/>
                <w:szCs w:val="19"/>
                <w:color w:val="auto"/>
              </w:rPr>
            </w:pPr>
          </w:p>
        </w:tc>
        <w:tc>
          <w:tcPr>
            <w:tcW w:w="3780" w:type="dxa"/>
            <w:vAlign w:val="bottom"/>
            <w:tcBorders>
              <w:bottom w:val="single" w:sz="8" w:color="auto"/>
              <w:right w:val="single" w:sz="8" w:color="auto"/>
            </w:tcBorders>
          </w:tcPr>
          <w:p>
            <w:pPr>
              <w:spacing w:after="0"/>
              <w:rPr>
                <w:sz w:val="19"/>
                <w:szCs w:val="19"/>
                <w:color w:val="auto"/>
              </w:rPr>
            </w:pPr>
          </w:p>
        </w:tc>
      </w:tr>
      <w:tr>
        <w:trPr>
          <w:trHeight w:val="223"/>
        </w:trPr>
        <w:tc>
          <w:tcPr>
            <w:tcW w:w="35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Initial Issue Date:</w:t>
            </w:r>
          </w:p>
        </w:tc>
        <w:tc>
          <w:tcPr>
            <w:tcW w:w="34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November 4, 2015</w:t>
            </w:r>
          </w:p>
        </w:tc>
        <w:tc>
          <w:tcPr>
            <w:tcW w:w="4260" w:type="dxa"/>
            <w:vAlign w:val="bottom"/>
            <w:tcBorders>
              <w:bottom w:val="single" w:sz="8" w:color="auto"/>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Revised Date: </w:t>
            </w:r>
            <w:r>
              <w:rPr>
                <w:rFonts w:ascii="Times New Roman" w:cs="Times New Roman" w:eastAsia="Times New Roman" w:hAnsi="Times New Roman"/>
                <w:sz w:val="18"/>
                <w:szCs w:val="18"/>
                <w:color w:val="auto"/>
              </w:rPr>
              <w:t>October 30, 2024</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SCOPE</w:t>
            </w:r>
          </w:p>
        </w:tc>
        <w:tc>
          <w:tcPr>
            <w:tcW w:w="3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“STRATA” (the “Company”) as used throughout this Policy, refers to the entire Corporate Group and is meant to include all subsidiaries and business offices of the Parent Company, both domestic and international, and all individuals employed therein. This Policy is applicable to any person or entity acting on behalf of or representing the Company. This includes any board member, executive, officer, manager, supervisor, employee, agent (including temporary employee or independent contractor/subcontractor) or affiliate of the Parent Company or any of its Subsidiaries worldwide. All individuals subject to this Policy are expected to read and sign it acknowledging their receipt and understanding of the contents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74"/>
        <w:spacing w:after="0" w:line="258" w:lineRule="auto"/>
        <w:rPr>
          <w:sz w:val="20"/>
          <w:szCs w:val="20"/>
          <w:color w:val="auto"/>
        </w:rPr>
      </w:pPr>
      <w:r>
        <w:rPr>
          <w:rFonts w:ascii="Times New Roman" w:cs="Times New Roman" w:eastAsia="Times New Roman" w:hAnsi="Times New Roman"/>
          <w:sz w:val="18"/>
          <w:szCs w:val="18"/>
          <w:color w:val="auto"/>
        </w:rPr>
        <w:t>STRATA Skin Sciences, Inc. has a strict policy against insider-trading. STRATA does not allow or condone the illegal actions of any board member, executive, director, officer, manager, supervisor, employee, agent or affiliate of the Company related to the insider-trading of the Company’s securities. Under United States securities laws, it is a crime to buy or sell securities of a company (including stocks or bonds) while in possession of material, non-public information about the company. Furthermore, it is a crime to pass on such information to others, who use it for personal profit, if the information was obtained in the course of one’s employment and disclosure violates a duty (of confidentiality or otherwise) owed to the employer.</w:t>
      </w:r>
    </w:p>
    <w:p>
      <w:pPr>
        <w:spacing w:after="0" w:line="183" w:lineRule="exact"/>
        <w:rPr>
          <w:sz w:val="20"/>
          <w:szCs w:val="20"/>
          <w:color w:val="auto"/>
        </w:rPr>
      </w:pPr>
    </w:p>
    <w:p>
      <w:pPr>
        <w:jc w:val="both"/>
        <w:ind w:firstLine="668"/>
        <w:spacing w:after="0" w:line="266"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The terms and guidelines set forth in this Policy apply to those who receive or have access to material non-public information (as defined below) regarding the Company. This Policy also applies to any person who receives material non-public information from any Insider. It is possible for any employee to be an Insider from time to time, and to be subject to this policy at those times.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board member, executive, director, officer, manager, supervisor, employee, agent or affiliate of the Company, their immediate families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family members living in the board member, executive etc. homes. Any person who possesses material non-public information regarding the Company is an Insider for so long as the information is not publicly known. Insiders of the Company may vary from time to time and will typically include those persons who, because of the nature of their responsibilities, are or are likely to become aware of important Company information.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generally, information should be regarded as material if there is a reasonable likelihood that it would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important to an investor in making an investment decision regarding the purchase or sale of the Company’s securities (in short, any information that could reasonably be expected to affect the price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9" w:name="page100"/>
    <w:bookmarkEnd w:id="99"/>
    <w:p>
      <w:pPr>
        <w:jc w:val="both"/>
        <w:ind w:firstLine="668"/>
        <w:spacing w:after="0" w:line="266" w:lineRule="auto"/>
        <w:rPr>
          <w:sz w:val="20"/>
          <w:szCs w:val="20"/>
          <w:color w:val="auto"/>
        </w:rPr>
      </w:pPr>
      <w:r>
        <w:rPr>
          <w:rFonts w:ascii="Times New Roman" w:cs="Times New Roman" w:eastAsia="Times New Roman" w:hAnsi="Times New Roman"/>
          <w:sz w:val="18"/>
          <w:szCs w:val="18"/>
          <w:color w:val="auto"/>
        </w:rPr>
        <w:t>The definition of “material information” is broadly defined; it is not possible to define all it covers. While it may be difficult under this standard to determine whether particular information is material, there are various categories of information that are particularly sensitive and, as a general rule, should always be considered material. Examples of such information include:</w:t>
      </w:r>
    </w:p>
    <w:p>
      <w:pPr>
        <w:spacing w:after="0" w:line="176" w:lineRule="exact"/>
        <w:rPr>
          <w:sz w:val="20"/>
          <w:szCs w:val="20"/>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(that differ from market expectations)</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the disposition of a subsidiary or a significant sale of assets</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substantial customer or supplier</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or service announcements of a significant nature</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product defects or modifications</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pricing changes</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offers</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exposure due to actual or threatened litigation</w:t>
      </w:r>
    </w:p>
    <w:p>
      <w:pPr>
        <w:spacing w:after="0" w:line="9"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changes in senior management</w:t>
      </w:r>
    </w:p>
    <w:p>
      <w:pPr>
        <w:spacing w:after="0" w:line="207" w:lineRule="exact"/>
        <w:rPr>
          <w:sz w:val="20"/>
          <w:szCs w:val="20"/>
          <w:color w:val="auto"/>
        </w:rPr>
      </w:pPr>
    </w:p>
    <w:p>
      <w:pPr>
        <w:jc w:val="both"/>
        <w:ind w:firstLine="668"/>
        <w:spacing w:after="0" w:line="282" w:lineRule="auto"/>
        <w:rPr>
          <w:sz w:val="20"/>
          <w:szCs w:val="20"/>
          <w:color w:val="auto"/>
        </w:rPr>
      </w:pPr>
      <w:r>
        <w:rPr>
          <w:rFonts w:ascii="Times New Roman" w:cs="Times New Roman" w:eastAsia="Times New Roman" w:hAnsi="Times New Roman"/>
          <w:sz w:val="18"/>
          <w:szCs w:val="18"/>
          <w:color w:val="auto"/>
        </w:rPr>
        <w:t>It should be borne in mind that both positive and negative information may be material and that non-public information is information that has not been previously disclosed to the general public and is otherwise not available to the general public.</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stock, stock options and any other securities the Company may issue from time to time, such as preferred stock, warrants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debentures, as well as to derivative securities relating to the Company’s stock, whether or not issued by the Company, such as exchange-traded options.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Tipping: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disclosure (“tip”) of material non-public information to any other person (including family members) where this information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used by that person to his or her profit by trading in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transaction involving a purchase or sale of the Company’s securities, including any offer to purchase or offer to sell.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day on which the principal exchange or market, on which the Company’s securities trade, is open for trading.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Trading Window: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period in any fiscal quarter commencing at the close of business one full Trading Day following the date of public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financial results for the prior fiscal quarter or year and ending on the thirtieth day after commencement, except that a Trading Window shall not extend into the last fifteen (15) days of a fiscal quarter.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w:t>
      </w:r>
    </w:p>
    <w:p>
      <w:pPr>
        <w:spacing w:after="0" w:line="225" w:lineRule="exact"/>
        <w:rPr>
          <w:sz w:val="20"/>
          <w:szCs w:val="20"/>
          <w:color w:val="auto"/>
        </w:rPr>
      </w:pPr>
    </w:p>
    <w:p>
      <w:pPr>
        <w:jc w:val="both"/>
        <w:ind w:firstLine="676"/>
        <w:spacing w:after="0" w:line="268" w:lineRule="auto"/>
        <w:tabs>
          <w:tab w:leader="none" w:pos="133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on 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Insider of the Company shall engage in any Trading of the Company’s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any period commencing with the date that he or she possesses Material Non-Public Information concerning the Company and ending at the close of business on the Trading Day following the date of public disclosure of that information, or at such time that non-public information is no longer material.</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Insider Trading Policy 2024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both"/>
        <w:ind w:firstLine="676"/>
        <w:spacing w:after="0" w:line="259" w:lineRule="auto"/>
        <w:tabs>
          <w:tab w:leader="none" w:pos="1387"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Insider shall engage in Tipping regarding the Company’s securities, nor shall any Insider or related person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or express opinions on the basis of Material Non-Public Information as to Trading in the Company’s Securities. Even if you are not in possession of Material Non-Public Information, do not recommend to any other person that they buy or sell Securities of the Company. “Tipping” Material Non-Public Information is always prohibited, and that your recommendation could be imputed to the Company and may be misleading if you do not have all relevant information.</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304"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in Securities on a short-term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requires that any Insider refrain from selling any Company Securities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six months after the purchase of any Company Securities. Similarly, any Insider must refrain from purchasing any Company Securities for a period of six months after the sale of any Company Securities. (Note that the SEC’s short-swing profit rule similarly prevents Insiders from selling any Securities within six months of any purchase and from purchasing any securities within six months after any sale.)</w:t>
      </w:r>
    </w:p>
    <w:p>
      <w:pPr>
        <w:spacing w:after="0" w:line="176" w:lineRule="exact"/>
        <w:rPr>
          <w:rFonts w:ascii="Times New Roman" w:cs="Times New Roman" w:eastAsia="Times New Roman" w:hAnsi="Times New Roman"/>
          <w:sz w:val="18"/>
          <w:szCs w:val="18"/>
          <w:b w:val="1"/>
          <w:bCs w:val="1"/>
          <w:color w:val="auto"/>
        </w:rPr>
      </w:pPr>
    </w:p>
    <w:p>
      <w:pPr>
        <w:ind w:left="1280" w:hanging="624"/>
        <w:spacing w:after="0"/>
        <w:tabs>
          <w:tab w:leader="none" w:pos="1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Short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Insiders or other employees should ever engage in short sales of Company Securities.</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Buying or selling puts or calls.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Insiders or other employees should ever engage in the purchase or sale of a put or call option,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derivative or hedging transaction, in respect of Company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EXCEPTIONS</w:t>
      </w:r>
    </w:p>
    <w:p>
      <w:pPr>
        <w:spacing w:after="0" w:line="229" w:lineRule="exact"/>
        <w:rPr>
          <w:sz w:val="20"/>
          <w:szCs w:val="20"/>
          <w:color w:val="auto"/>
        </w:rPr>
      </w:pPr>
    </w:p>
    <w:p>
      <w:pPr>
        <w:jc w:val="both"/>
        <w:ind w:firstLine="668"/>
        <w:spacing w:after="0" w:line="256" w:lineRule="auto"/>
        <w:rPr>
          <w:sz w:val="20"/>
          <w:szCs w:val="20"/>
          <w:color w:val="auto"/>
        </w:rPr>
      </w:pPr>
      <w:r>
        <w:rPr>
          <w:rFonts w:ascii="Times New Roman" w:cs="Times New Roman" w:eastAsia="Times New Roman" w:hAnsi="Times New Roman"/>
          <w:sz w:val="18"/>
          <w:szCs w:val="18"/>
          <w:color w:val="auto"/>
        </w:rPr>
        <w:t>These restrictions do not apply to stock option exercises because option exercises are not regarded as purchases of Securities. For purposes of this Policy, the Company considers that the exercise of stock options for cash under the Company’s stock option plans or the purchase of shares under any Company employee stock purchase plan (but not the sale of any such shares) is exempt from this Policy, because the other party to the transaction is the Company itself and the price does not vary with the market but is fixed by the terms of the option agreement or the plan. However, those personnel who are prohibited from trading outside a Trading Window are also required to gain approval from the Chief Financial Officer for any exercise, and the Chief Financial Officer will confer with the Securities Counsel, when appropriate.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restrictions also do not apply to share grants received pursuant to an election to receive equity in payment of a portion of a bonus or other award pursuant to any incentive compensation plan of the Company. Share grants received pursuant to such a plan are subject to contractual restrictions on resale as set forth in the applicable compensation plan or award agreement.</w:t>
      </w:r>
    </w:p>
    <w:p>
      <w:pPr>
        <w:spacing w:after="0" w:line="176" w:lineRule="exact"/>
        <w:rPr>
          <w:sz w:val="20"/>
          <w:szCs w:val="20"/>
          <w:color w:val="auto"/>
        </w:rPr>
      </w:pPr>
    </w:p>
    <w:p>
      <w:pPr>
        <w:jc w:val="both"/>
        <w:ind w:firstLine="668"/>
        <w:spacing w:after="0" w:line="282" w:lineRule="auto"/>
        <w:rPr>
          <w:sz w:val="20"/>
          <w:szCs w:val="20"/>
          <w:color w:val="auto"/>
        </w:rPr>
      </w:pPr>
      <w:r>
        <w:rPr>
          <w:rFonts w:ascii="Times New Roman" w:cs="Times New Roman" w:eastAsia="Times New Roman" w:hAnsi="Times New Roman"/>
          <w:sz w:val="18"/>
          <w:szCs w:val="18"/>
          <w:color w:val="auto"/>
        </w:rPr>
        <w:t>This exception is narrow. It does not cover a sale of securities in near-term succession after acquisition of the securities by the exercise of stock options. Nor does it cover a “cashless” exercise of stock options, where the Company’s Securities are used to pay the exercise price of the option.</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Insider Trading Policy 2024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both"/>
        <w:spacing w:after="0" w:line="266" w:lineRule="auto"/>
        <w:rPr>
          <w:sz w:val="20"/>
          <w:szCs w:val="20"/>
          <w:color w:val="auto"/>
        </w:rPr>
      </w:pPr>
      <w:r>
        <w:rPr>
          <w:rFonts w:ascii="Times New Roman" w:cs="Times New Roman" w:eastAsia="Times New Roman" w:hAnsi="Times New Roman"/>
          <w:sz w:val="18"/>
          <w:szCs w:val="18"/>
          <w:color w:val="auto"/>
        </w:rPr>
        <w:t>The restrictions do apply, however, to sales of shares received upon the exercise of an option. Therefore, an Insider may exercise a stock option and immediately sell the option shares. However, if an Insider has purchased other Company shares within the six months prior to the option exercise, he or she may not sell the option shares until the purchased shares have been held for at least six months.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no exceptions for transactions that may be necessary or justifiable for independent reasons (such as the need to raise money for an emergency expenditure).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CONFIDENTIALITY OF NON-PUBLIC INFORMATION</w:t>
      </w:r>
    </w:p>
    <w:p>
      <w:pPr>
        <w:spacing w:after="0" w:line="229" w:lineRule="exact"/>
        <w:rPr>
          <w:sz w:val="20"/>
          <w:szCs w:val="20"/>
          <w:color w:val="auto"/>
        </w:rPr>
      </w:pPr>
    </w:p>
    <w:p>
      <w:pPr>
        <w:jc w:val="both"/>
        <w:ind w:firstLine="668"/>
        <w:spacing w:after="0" w:line="256" w:lineRule="auto"/>
        <w:rPr>
          <w:sz w:val="20"/>
          <w:szCs w:val="20"/>
          <w:color w:val="auto"/>
        </w:rPr>
      </w:pPr>
      <w:r>
        <w:rPr>
          <w:rFonts w:ascii="Times New Roman" w:cs="Times New Roman" w:eastAsia="Times New Roman" w:hAnsi="Times New Roman"/>
          <w:sz w:val="18"/>
          <w:szCs w:val="18"/>
          <w:color w:val="auto"/>
        </w:rPr>
        <w:t>Material Non-Public Information relating to the Company belongs to the Company and the unauthorized disclosure of such information is forbidden. The responsibility to maintain the confidentiality of information extends to information entrusted to any executive, officer, director, manager, supervisor, employee, agent or affiliate, including our suppliers and customers. The sharing of Material Non-Public Information with unauthorized individuals outside of the Company or unauthorized third-parties is prohibited. Employees should take appropriate precautions to ensure that confidential or sensitive business information, whether it is proprietary to the Company or another company, is not communicated within the Company except to employees who have a need to know such information to perform their responsibilities for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Only the Company’s authorized Spokespersons (most often CEO and CFO) are permitted to discuss proprietary Company information to others outside of the Company. Employees who believe that they are being required to disclose proprietary Company information to complete their job accordingly are required to obtain the prior approval of the Company CEO before doing so.</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of Material Non-Public Information may be required in some circumstances, including instances when disclosure is legally mandated by a state or government agency in the event of audit or investigation. If you are approached by a government agency or subpoenaed for such information, you must, unless prohibited by law, inform the Company of that request so that the Company has an opportunity to review and/or contest that request. Disclosure may otherwise be authorized by internal executives, In-house counsel or the Board of Directors for legitimate business purposes which may be precluded without the presentation of this information. In such instances, In-house counsel will advise as to when and what information is required and to whom it may be disclosed.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ensure the protection of Material Non-Public Information by our employees, STRATA has adopted an Employee Confidentiality and Non-Disclosure Agreement which is required to be signed by all employees and agents upon hire or start with the Company. This Agreement is binding and enforceable. Employees who violate confidentiality are subject to disciplinary action, up to and including dismissal, and possible civil or criminal penalties. STRATA retains the right to take legal action against any individual who violates this Confidentiality policy. Should you have questions regarding what is considered confidential information, or would like to report a possible breach of confidentiality, please call our Compliance Hotline or contact in-house counsel.</w:t>
      </w: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Insider Trading Policy 2024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DISCLOSURE OF INFORMATION TO OTHERS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required under Regulation FD of the federal securities laws to avoid the selective disclosure of Material Non-Public Information. The Company has established procedures for releasing material information in a manner that is designed to achieve broad public dissemination of the information immediately upon its release. No executive, officer, director, manager, supervisor, employee, or agent should disclose information to anyone outside the Company, including family members and friends, or discuss the Company or its business on any internet message board, chat room or any similar or other forum, other than in accordance with those procedures. If you receive inquiries about the Company from securities analysts, reporters, or others, you must decline comment and direct them to the Company’s CEO, who can be contacted as follows:</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Dolev Rafaeli</w:t>
      </w:r>
    </w:p>
    <w:p>
      <w:pPr>
        <w:spacing w:after="0" w:line="207" w:lineRule="exact"/>
        <w:rPr>
          <w:sz w:val="20"/>
          <w:szCs w:val="20"/>
          <w:color w:val="auto"/>
        </w:rPr>
      </w:pPr>
    </w:p>
    <w:p>
      <w:pPr>
        <w:sectPr>
          <w:pgSz w:w="11900" w:h="16838" w:orient="portrait"/>
          <w:cols w:equalWidth="0" w:num="2">
            <w:col w:w="2100" w:space="720"/>
            <w:col w:w="8420"/>
          </w:cols>
          <w:pgMar w:left="320" w:top="117"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Mailing Address: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Walnut Grove Drive, Suite 140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Horsham, PA 19044</w:t>
      </w:r>
    </w:p>
    <w:p>
      <w:pPr>
        <w:spacing w:after="0" w:line="200" w:lineRule="exact"/>
        <w:rPr>
          <w:sz w:val="20"/>
          <w:szCs w:val="20"/>
          <w:color w:val="auto"/>
        </w:rPr>
      </w:pPr>
    </w:p>
    <w:p>
      <w:pPr>
        <w:sectPr>
          <w:pgSz w:w="11900" w:h="16838" w:orient="portrait"/>
          <w:cols w:equalWidth="0" w:num="2">
            <w:col w:w="2100" w:space="720"/>
            <w:col w:w="8420"/>
          </w:cols>
          <w:pgMar w:left="320" w:top="117"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dolev@strataskin.com</w:t>
      </w:r>
    </w:p>
    <w:p>
      <w:pPr>
        <w:spacing w:after="0" w:line="200" w:lineRule="exact"/>
        <w:rPr>
          <w:sz w:val="20"/>
          <w:szCs w:val="20"/>
          <w:color w:val="auto"/>
        </w:rPr>
      </w:pPr>
    </w:p>
    <w:p>
      <w:pPr>
        <w:sectPr>
          <w:pgSz w:w="11900" w:h="16838" w:orient="portrait"/>
          <w:cols w:equalWidth="0" w:num="2">
            <w:col w:w="2100" w:space="720"/>
            <w:col w:w="8420"/>
          </w:cols>
          <w:pgMar w:left="320" w:top="117"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Phone: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(215) 619-3200</w:t>
      </w:r>
    </w:p>
    <w:p>
      <w:pPr>
        <w:spacing w:after="0" w:line="207" w:lineRule="exact"/>
        <w:rPr>
          <w:sz w:val="20"/>
          <w:szCs w:val="20"/>
          <w:color w:val="auto"/>
        </w:rPr>
      </w:pPr>
    </w:p>
    <w:p>
      <w:pPr>
        <w:sectPr>
          <w:pgSz w:w="11900" w:h="16838" w:orient="portrait"/>
          <w:cols w:equalWidth="0" w:num="2">
            <w:col w:w="2100" w:space="720"/>
            <w:col w:w="8420"/>
          </w:cols>
          <w:pgMar w:left="320" w:top="117" w:right="339" w:bottom="1440" w:gutter="0" w:footer="0" w:header="0"/>
          <w:type w:val="continuous"/>
        </w:sectPr>
      </w:pPr>
    </w:p>
    <w:p>
      <w:pPr>
        <w:spacing w:after="0" w:line="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All Insiders must take care not to discuss material non-public information where it may be overheard or intercepted. This includes open conversation about non-public information in common public areas such as in restaurants, elevators, restrooms, and other public places. Remember that cellular phone conversations are often overheard and that voice mail and e-mail messages may be retrieved by persons other than their intended recipients.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CRIMINAL AND CIVIL LIABILITY AND/OR DISCIPLNARY ACTION</w:t>
      </w:r>
    </w:p>
    <w:p>
      <w:pPr>
        <w:spacing w:after="0" w:line="225" w:lineRule="exact"/>
        <w:rPr>
          <w:sz w:val="20"/>
          <w:szCs w:val="20"/>
          <w:color w:val="auto"/>
        </w:rPr>
      </w:pPr>
    </w:p>
    <w:p>
      <w:pPr>
        <w:jc w:val="both"/>
        <w:ind w:firstLine="676"/>
        <w:spacing w:after="0" w:line="259" w:lineRule="auto"/>
        <w:tabs>
          <w:tab w:leader="none" w:pos="138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Insider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Insiders may be subject to criminal and civil penalties for Insider Trading violations. The maximum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criminal penalties are currently $5,000,000 and twenty years in jail for trading in the Company’s Securities at a time when they have knowledge of Material Non-Public Information regarding the Company. For Companies, such as STRATA, whose securities are publicly traded, maximum criminal fines are set $25,000,000. Additionally, persons who violate Insider Trading laws may be required to turn over any profits gained or losses avoided as a result of an illegal trade in addition to being penalized an amount of up to three times the profit gained or loss avoided.</w:t>
      </w:r>
    </w:p>
    <w:p>
      <w:pPr>
        <w:spacing w:after="0" w:line="179" w:lineRule="exact"/>
        <w:rPr>
          <w:rFonts w:ascii="Times New Roman" w:cs="Times New Roman" w:eastAsia="Times New Roman" w:hAnsi="Times New Roman"/>
          <w:sz w:val="18"/>
          <w:szCs w:val="18"/>
          <w:b w:val="1"/>
          <w:bCs w:val="1"/>
          <w:color w:val="auto"/>
        </w:rPr>
      </w:pPr>
    </w:p>
    <w:p>
      <w:pPr>
        <w:jc w:val="both"/>
        <w:ind w:firstLine="676"/>
        <w:spacing w:after="0" w:line="259" w:lineRule="auto"/>
        <w:tabs>
          <w:tab w:leader="none" w:pos="1401"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Tipping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Insiders may also be liable for improper transactions by any person (commonly referred to as a “Tippee”)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they have disclosed non-public information regarding the Company or to whom they have made recommendations or expressed opinions on the basis of such information as to trading in the Company’s securities. Penalties and fines are administered on a case-by-case basis. The SEC has imposed large penalties even when the disclosing person did not profit from the trading. The SEC, the stock exchanges and the National Association of Securities Dealers, Inc. will often conduct in-depth investigations and use sophisticated methods to uncover insider trading.</w:t>
      </w:r>
    </w:p>
    <w:p>
      <w:pPr>
        <w:spacing w:after="0" w:line="179" w:lineRule="exact"/>
        <w:rPr>
          <w:rFonts w:ascii="Times New Roman" w:cs="Times New Roman" w:eastAsia="Times New Roman" w:hAnsi="Times New Roman"/>
          <w:sz w:val="18"/>
          <w:szCs w:val="18"/>
          <w:b w:val="1"/>
          <w:bCs w:val="1"/>
          <w:color w:val="auto"/>
        </w:rPr>
      </w:pPr>
    </w:p>
    <w:p>
      <w:pPr>
        <w:ind w:firstLine="676"/>
        <w:spacing w:after="0" w:line="286" w:lineRule="auto"/>
        <w:tabs>
          <w:tab w:leader="none" w:pos="138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Possible Disciplinary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 the Company who violate this policy will also be subject to disciplinary action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which may include ineligibility for future participation in the Company’s equity incentive plans or termination of employment.</w:t>
      </w:r>
    </w:p>
    <w:p>
      <w:pPr>
        <w:spacing w:after="0" w:line="330"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color w:val="auto"/>
        </w:rPr>
        <w:t>Insider Trading Policy 2024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3" w:name="page104"/>
    <w:bookmarkEnd w:id="103"/>
    <w:p>
      <w:pPr>
        <w:jc w:val="both"/>
        <w:ind w:firstLine="668"/>
        <w:spacing w:after="0" w:line="266" w:lineRule="auto"/>
        <w:rPr>
          <w:sz w:val="20"/>
          <w:szCs w:val="20"/>
          <w:color w:val="auto"/>
        </w:rPr>
      </w:pPr>
      <w:r>
        <w:rPr>
          <w:rFonts w:ascii="Times New Roman" w:cs="Times New Roman" w:eastAsia="Times New Roman" w:hAnsi="Times New Roman"/>
          <w:sz w:val="18"/>
          <w:szCs w:val="18"/>
          <w:color w:val="auto"/>
        </w:rPr>
        <w:t>If Securities transactions become the subject of scrutiny they will be viewed after the fact with the benefit of twenty-twenty hindsight. As a result, before engaging in any transaction involving the Company’s Securities, any executive, officer, director, manager, supervisor, employee, or agent should carefully consider how the transaction would be viewed in hindsight if a marked increase or decrease in the stock price occurs after the transaction.</w:t>
      </w:r>
    </w:p>
    <w:p>
      <w:pPr>
        <w:spacing w:after="0" w:line="176" w:lineRule="exact"/>
        <w:rPr>
          <w:sz w:val="20"/>
          <w:szCs w:val="20"/>
          <w:color w:val="auto"/>
        </w:rPr>
      </w:pPr>
    </w:p>
    <w:p>
      <w:pPr>
        <w:jc w:val="both"/>
        <w:ind w:firstLine="668"/>
        <w:spacing w:after="0" w:line="258" w:lineRule="auto"/>
        <w:rPr>
          <w:sz w:val="20"/>
          <w:szCs w:val="20"/>
          <w:color w:val="auto"/>
        </w:rPr>
      </w:pPr>
      <w:r>
        <w:rPr>
          <w:rFonts w:ascii="Times New Roman" w:cs="Times New Roman" w:eastAsia="Times New Roman" w:hAnsi="Times New Roman"/>
          <w:sz w:val="18"/>
          <w:szCs w:val="18"/>
          <w:color w:val="auto"/>
        </w:rPr>
        <w:t>Whether the information is proprietary information about the Company, information that could have an impact on the Company’s stock price, or non-public information about another company learned in the course of employment, none of such information should be passed on to others. The same legal penalties apply whether or not the distributor of the information, or tipper, actually benefits from another’s actions. The SEC has often successfully asserted substantial penalties against employees who told others about pending transactions even though those employees did not actually trade or profit from their Tippees’ trading.</w:t>
      </w:r>
    </w:p>
    <w:p>
      <w:pPr>
        <w:spacing w:after="0" w:line="183" w:lineRule="exact"/>
        <w:rPr>
          <w:sz w:val="20"/>
          <w:szCs w:val="20"/>
          <w:color w:val="auto"/>
        </w:rPr>
      </w:pPr>
    </w:p>
    <w:p>
      <w:pPr>
        <w:jc w:val="both"/>
        <w:ind w:firstLine="668"/>
        <w:spacing w:after="0" w:line="261" w:lineRule="auto"/>
        <w:rPr>
          <w:sz w:val="20"/>
          <w:szCs w:val="20"/>
          <w:color w:val="auto"/>
        </w:rPr>
      </w:pPr>
      <w:r>
        <w:rPr>
          <w:rFonts w:ascii="Times New Roman" w:cs="Times New Roman" w:eastAsia="Times New Roman" w:hAnsi="Times New Roman"/>
          <w:sz w:val="18"/>
          <w:szCs w:val="18"/>
          <w:color w:val="auto"/>
        </w:rPr>
        <w:t>The very same restrictions apply to family members and others living with any of such persons. Each executive, officer, director, manager, supervisor, employee, or agent will also be held responsible for their actions and for the actions of their immediate families and personal households. If a relative living outside such person’s home trades, and thereafter there is a marked increase or decrease in the stock price because of a Company transaction or event, the relative’s trades, and such person’s actions, will be subject to strict scrutiny.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NON-PUBLIC INFORMATION IS OR BECOMES PUBLIC</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the Company’s shareholders and the investing public must be afforded the time to receive the information and act upon it, as a general rule no Insider should engage in any transactions until one full business day have elapsed after the information has been released. It is also improper for an executive, officer, director, manager, supervisor, employee, or agent to enter a trade immediately after the Company has made a public announcement of material information, including earnings releases. These guidelines are meant to ensure only that the public announcement has been adequately disseminated and, even if the specified time periods following a public announcement have passed, any desired transactions by executives, officers, directors, managers, supervisors, employees, or agents will remain subject to all of the other provisions of this policy.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&amp; RECOMMENDED GUIDELINES</w:t>
      </w:r>
    </w:p>
    <w:p>
      <w:pPr>
        <w:spacing w:after="0" w:line="225" w:lineRule="exact"/>
        <w:rPr>
          <w:sz w:val="20"/>
          <w:szCs w:val="20"/>
          <w:color w:val="auto"/>
        </w:rPr>
      </w:pPr>
    </w:p>
    <w:p>
      <w:pPr>
        <w:jc w:val="both"/>
        <w:ind w:left="660" w:hanging="4"/>
        <w:spacing w:after="0" w:line="259" w:lineRule="auto"/>
        <w:tabs>
          <w:tab w:leader="none" w:pos="127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Required and Recommended Trading Window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ensure compliance with this policy and applicable federal and state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requires that all directors and officers who are subject to Section 16 filing requirements and all sales, marketing and accounting managers and other employees who have access to internal financial statements and Material Non-Public information </w:t>
      </w:r>
      <w:r>
        <w:rPr>
          <w:rFonts w:ascii="Times New Roman" w:cs="Times New Roman" w:eastAsia="Times New Roman" w:hAnsi="Times New Roman"/>
          <w:sz w:val="18"/>
          <w:szCs w:val="18"/>
          <w:b w:val="1"/>
          <w:bCs w:val="1"/>
          <w:color w:val="auto"/>
        </w:rPr>
        <w:t>must</w:t>
      </w:r>
      <w:r>
        <w:rPr>
          <w:rFonts w:ascii="Times New Roman" w:cs="Times New Roman" w:eastAsia="Times New Roman" w:hAnsi="Times New Roman"/>
          <w:sz w:val="18"/>
          <w:szCs w:val="18"/>
          <w:color w:val="auto"/>
        </w:rPr>
        <w:t xml:space="preserve"> refrain from the purchase or sale of the Company’s securities outside a Trading Window. As to all other officers and employees, the Company strongly recommends that they should refrain from the purchase or sale of the Company’s securities outside a Trading Window.</w:t>
      </w:r>
    </w:p>
    <w:p>
      <w:pPr>
        <w:spacing w:after="0" w:line="173" w:lineRule="exact"/>
        <w:rPr>
          <w:sz w:val="20"/>
          <w:szCs w:val="20"/>
          <w:color w:val="auto"/>
        </w:rPr>
      </w:pPr>
    </w:p>
    <w:p>
      <w:pPr>
        <w:jc w:val="both"/>
        <w:ind w:left="660"/>
        <w:spacing w:after="0" w:line="224" w:lineRule="auto"/>
        <w:rPr>
          <w:sz w:val="20"/>
          <w:szCs w:val="20"/>
          <w:color w:val="auto"/>
        </w:rPr>
      </w:pPr>
      <w:r>
        <w:rPr>
          <w:rFonts w:ascii="Times New Roman" w:cs="Times New Roman" w:eastAsia="Times New Roman" w:hAnsi="Times New Roman"/>
          <w:sz w:val="18"/>
          <w:szCs w:val="18"/>
          <w:color w:val="303030"/>
        </w:rPr>
        <w:t>A quarterly blackout period is in effect with respect to each quarterly earnings announcement, starting on the 15</w:t>
      </w:r>
      <w:r>
        <w:rPr>
          <w:rFonts w:ascii="Times New Roman" w:cs="Times New Roman" w:eastAsia="Times New Roman" w:hAnsi="Times New Roman"/>
          <w:sz w:val="29"/>
          <w:szCs w:val="29"/>
          <w:color w:val="303030"/>
          <w:vertAlign w:val="superscript"/>
        </w:rPr>
        <w:t>th</w:t>
      </w:r>
      <w:r>
        <w:rPr>
          <w:rFonts w:ascii="Times New Roman" w:cs="Times New Roman" w:eastAsia="Times New Roman" w:hAnsi="Times New Roman"/>
          <w:sz w:val="18"/>
          <w:szCs w:val="18"/>
          <w:color w:val="303030"/>
        </w:rPr>
        <w:t xml:space="preserve"> day of the third month of the applicable Company fiscal quarter and ending when one full trading day has passed following the public announcement of the Company’s quarterly financial results. </w:t>
      </w:r>
      <w:r>
        <w:rPr>
          <w:rFonts w:ascii="Times New Roman" w:cs="Times New Roman" w:eastAsia="Times New Roman" w:hAnsi="Times New Roman"/>
          <w:sz w:val="18"/>
          <w:szCs w:val="18"/>
          <w:color w:val="000000"/>
        </w:rPr>
        <w:t>The foregoing timeline is based on the assumption that the Company’s Counsel has not advised that a Trading Window</w:t>
      </w:r>
      <w:r>
        <w:rPr>
          <w:rFonts w:ascii="Times New Roman" w:cs="Times New Roman" w:eastAsia="Times New Roman" w:hAnsi="Times New Roman"/>
          <w:sz w:val="18"/>
          <w:szCs w:val="18"/>
          <w:color w:val="303030"/>
        </w:rPr>
        <w:t xml:space="preserve"> </w:t>
      </w:r>
      <w:r>
        <w:rPr>
          <w:rFonts w:ascii="Times New Roman" w:cs="Times New Roman" w:eastAsia="Times New Roman" w:hAnsi="Times New Roman"/>
          <w:sz w:val="18"/>
          <w:szCs w:val="18"/>
          <w:color w:val="000000"/>
        </w:rPr>
        <w:t>should be curtailed.</w:t>
      </w: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Insider Trading Policy 2024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both"/>
        <w:ind w:left="660" w:hanging="4"/>
        <w:spacing w:after="0" w:line="257" w:lineRule="auto"/>
        <w:tabs>
          <w:tab w:leader="none" w:pos="1393"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Trading Window is not a Safe Harbor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 during the Trading Window, any person possessing Material Non-Public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the Company should not engage in any transactions in the Company’s Securities until such information has been known publicly for at least one Trading Days Although the Company may from time to time stipulate during a Trading Window that directors, officers, selected employees and others suspend Trading because of developments known to the Company and not yet disclosed to the public, each person is individually responsible at all times for compliance with the prohibitions against Insider Trading. Trading in the Company’s securities during the Trading Window should not be considered a “safe harbor,” and all directors, officers and other persons should use good judgment at all times.</w:t>
      </w:r>
    </w:p>
    <w:p>
      <w:pPr>
        <w:spacing w:after="0" w:line="182" w:lineRule="exact"/>
        <w:rPr>
          <w:rFonts w:ascii="Times New Roman" w:cs="Times New Roman" w:eastAsia="Times New Roman" w:hAnsi="Times New Roman"/>
          <w:sz w:val="18"/>
          <w:szCs w:val="18"/>
          <w:b w:val="1"/>
          <w:bCs w:val="1"/>
          <w:color w:val="auto"/>
        </w:rPr>
      </w:pPr>
    </w:p>
    <w:p>
      <w:pPr>
        <w:jc w:val="both"/>
        <w:ind w:left="660" w:hanging="4"/>
        <w:spacing w:after="0" w:line="262" w:lineRule="auto"/>
        <w:tabs>
          <w:tab w:leader="none" w:pos="1362"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Individual Responsibility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director, officer and employee has the individual responsibility to comply with this Policy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 Trading regardless of whether the Company has recommended a Trading Window to that or any other Insiders of the Company. The guidelines set forth in this Policy are guidelines only, and appropriate judgment should be exercised in connection with any of the Company’s securities.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An Insider may, from time to time, be obliged to forego a proposed transaction in the Company’s Securities, even if he or she had planned to make the transaction before learning of the Material Non-Public Information and even though the Insider believes he or she may suffer an economic loss or forego an anticipated profit by waiting.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PRE-CLEARANCE OF ALL TRADES BY INSIDERS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provide assistance in preventing inadvertent violations and avoiding even the appearance of an improper transaction (which could result, for example, where any director, officer or other employee engages in a Trade while unaware of a pending major development), the following procedures will apply: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Except as otherwise set forth below, all transactions in Company Securities (acquisitions, dispositions, transfers, etc.) by Insiders must be pre-cleared by the Company’s Chief Financial Officer. If an employee has not been previously designated as an Insider and the Company determines that he or she is or may become aware of potentially Material Non-Public Information nonetheless, such employee will be notified of his or her Insider status and the rules relating to Trading by Insiders will apply to such employee until further notice. Those persons required to pre-clear transactions should contact the Chief Financial Officer at least two business days in advance of a proposed trade. The Chief Financial Officer will make appropriate inquiries and review and advise whether or not the Company will permit a trade under the circumstances. The Chief Financial Officer is under no obligation to approve a trade submitted for pre-clearance and may determine not to permit the trade.</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pre-clearance requirement does not apply to stock option exercises, but does cover sales of option shares (that is, the sale of the shares received when an option is exercised). Once pre-cleared, a trade must be initiated within two business days. If a transaction is not initiated within that period, it cannot thereafter be initiated without a second advance clearance.</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Insider Trading Policy 2024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BLACKOUT PERIODS</w:t>
      </w:r>
    </w:p>
    <w:p>
      <w:pPr>
        <w:spacing w:after="0" w:line="225" w:lineRule="exact"/>
        <w:rPr>
          <w:sz w:val="20"/>
          <w:szCs w:val="20"/>
          <w:color w:val="auto"/>
        </w:rPr>
      </w:pPr>
    </w:p>
    <w:p>
      <w:pPr>
        <w:jc w:val="both"/>
        <w:ind w:left="660" w:hanging="328"/>
        <w:spacing w:after="0" w:line="262" w:lineRule="auto"/>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Quarterly Blackouts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announcement of its quarterly financial results almost always has the potential to have a material effect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market for the Company’s Securities. Therefore, Insiders can anticipate that, to avoid even the appearance of trading while aware of Material Non-Public Information, they will not be pre-cleared to trade in Company Securities during the period beginning at the end of the Company’s fiscal quarter and ending one full business day after the issuance of the quarterly earnings release.</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62" w:lineRule="auto"/>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Interim Blackouts.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also on occasion issue interim earnings guidance or other potentially Material Non-Public Information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of a press release, SEC filing on Form 8-K or other means designed to achieve widespread dissemination of the information. Trades by Insiders are also unlikely to be pre-cleared while the Company is in the process of assembling the information to be released and until the information has been released and fully absorbed by the market.</w:t>
      </w:r>
    </w:p>
    <w:p>
      <w:pPr>
        <w:spacing w:after="0" w:line="176" w:lineRule="exact"/>
        <w:rPr>
          <w:rFonts w:ascii="Times New Roman" w:cs="Times New Roman" w:eastAsia="Times New Roman" w:hAnsi="Times New Roman"/>
          <w:sz w:val="18"/>
          <w:szCs w:val="18"/>
          <w:b w:val="1"/>
          <w:bCs w:val="1"/>
          <w:color w:val="auto"/>
        </w:rPr>
      </w:pPr>
    </w:p>
    <w:p>
      <w:pPr>
        <w:jc w:val="both"/>
        <w:ind w:left="660" w:hanging="328"/>
        <w:spacing w:after="0" w:line="255" w:lineRule="auto"/>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Event-Specific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an event may occur that is material to the Company and is known by only a few Insiders.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 long as such an event remains material and nonpublic, no Insiders will be permitted to trade in Company securities. The existence of an event-specific blackout will not be announced, other than to those who are aware of the event giving rise to the blackout. If, however, a person whose trades are subject to pre-clearance requests permission to trade in Company Securities during an event-specific blackout, the Chief Financial Officer will inform the requester of the existence of a blackout period without disclosing the reason for the blackout. No person made aware of the existence of an event-specific blackout should disclose the existence of the blackout to any other person. The failure of the Chief Financial Officer to designate a person as being subject to an event-specific blackout will not in any event relieve that person of the obligation not to trade while aware of material nonpublic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OF BENEFITICAL OWNERSHIP</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directors, executive officers and beneficial owners of ten percent or more of a class of equity securities of the Company are required to file initial reports of their beneficial ownership of any class of the Company’s Securities with the SEC on Form 3. Thereafter, each reporting person must file Forms 4 and 5 reporting all reportable changes in beneficial ownership. A report on Form 4 is due for each then-reportable change in beneficial ownership by the second business day after the transaction. A report on Form 5 is due from each reporting person within 45 days after the end of the Company’s fiscal year. All reports on Forms 3, 4 and 5 must be electronically filed. The Company’s Chief Financial Officer, In-house counsel , Executive Administrator and, as needed, Securities Counsel will assist in the preparation of these reports, but the ultimate responsibility for making sure that all changes in ownership are accurately and promptly reported rests with the individual.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OF STOCK IN A COMPANY-SPONSORED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Chief Financial Officer may promulgate specific rules, either in addition to or as exceptions to the rules stated above, to govern transactions in Company Securities in or through Company-sponsored retirement, savings or profit-sharing plans or pursuant to written trading plans under Rule 10b5-1 of the Exchange Act. All such rules will be deemed to be part of this Policy.</w:t>
      </w:r>
    </w:p>
    <w:p>
      <w:pPr>
        <w:spacing w:after="0" w:line="347" w:lineRule="exact"/>
        <w:rPr>
          <w:sz w:val="20"/>
          <w:szCs w:val="20"/>
          <w:color w:val="auto"/>
        </w:rPr>
      </w:pPr>
    </w:p>
    <w:p>
      <w:pPr>
        <w:ind w:left="9460"/>
        <w:spacing w:after="0"/>
        <w:rPr>
          <w:sz w:val="20"/>
          <w:szCs w:val="20"/>
          <w:color w:val="auto"/>
        </w:rPr>
      </w:pPr>
      <w:r>
        <w:rPr>
          <w:rFonts w:ascii="Times New Roman" w:cs="Times New Roman" w:eastAsia="Times New Roman" w:hAnsi="Times New Roman"/>
          <w:sz w:val="14"/>
          <w:szCs w:val="14"/>
          <w:color w:val="auto"/>
        </w:rPr>
        <w:t>Insider Trading Policy 2024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POST-TERMINATION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by Insiders even after such persons have terminated employment with, service to or a business relationship with the Company. If an Insider is in possession of Material Non-Public Information upon such termination, such person may not trade in Company Securities until that information has become public or is no longer material. In all other respects, the procedures set forth in this Policy will cease to apply to transactions in Company Securities by an Insider upon the expiration of any blackout period that is applicable to Insider transactions at the time of termination of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OF POLICY TO INSIDE INFORMATION REGARDING OTHER COMPANIES</w:t>
      </w:r>
    </w:p>
    <w:p>
      <w:pPr>
        <w:spacing w:after="0" w:line="229" w:lineRule="exact"/>
        <w:rPr>
          <w:sz w:val="20"/>
          <w:szCs w:val="20"/>
          <w:color w:val="auto"/>
        </w:rPr>
      </w:pPr>
    </w:p>
    <w:p>
      <w:pPr>
        <w:jc w:val="both"/>
        <w:ind w:firstLine="668"/>
        <w:spacing w:after="0" w:line="258" w:lineRule="auto"/>
        <w:rPr>
          <w:sz w:val="20"/>
          <w:szCs w:val="20"/>
          <w:color w:val="auto"/>
        </w:rPr>
      </w:pPr>
      <w:r>
        <w:rPr>
          <w:rFonts w:ascii="Times New Roman" w:cs="Times New Roman" w:eastAsia="Times New Roman" w:hAnsi="Times New Roman"/>
          <w:sz w:val="18"/>
          <w:szCs w:val="18"/>
          <w:color w:val="auto"/>
        </w:rPr>
        <w:t>This policy and the guidelines described herein also apply to Material Non-Public Information relating to other companies, including the Company’s customers, vendors, or suppliers (“business associates”), when that information is obtained in the course of employment with, or other services performed on behalf of, the Company. Civil and criminal penalties, and termination of employment may result from Trading on inside information regarding the Company’s business associates. All employees should treat Material Non-Public Information about the Company’s business associates with the same care required with respect to information related directly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AN INSIDER-TRADING VIOLATION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Taking action to prevent problems is part of this Company's culture. This Policy cannot address all situations which employees might encounter. It may be possible that the Company is unaware of a situation in which actual or attempted Insider Trading or Tipping are occurring in which its board members, executives, officers, directors, managers, supervisors, employees or agents are involved. Therefore, STRATA relies on the assistance of individuals to report such instances as they happen so that timely investigations and proper actions can be taken to curtail these offenses. If an individual observes what is believed to be Insider Trading or Tipping as outlined above, they are encouraged to report their concerns. Employees and others involved with the Company are urged to come forward with any such information, without regard to the identity or position of the suspected offender.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IN-HOUSE LEGAL DEPARTMENT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Employees should promptly report violations of laws, rules, regulations or this Policy to the Company's in-house counsel. Any report or allegation of a violation of applicable laws, rules, regulations or this Policy need not be signed and may be sent anonymously. All reports of violations of this Policy, including reports sent anonymously, will be promptly investigated and, if found to be accurate, will be acted upon in a timely and according manner.</w:t>
      </w:r>
    </w:p>
    <w:p>
      <w:pPr>
        <w:spacing w:after="0" w:line="4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In-house counsel may be contacted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Sturm, Esq.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Walnut Grove Drive, Suite 140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Horsham, PA 19044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215-619-3285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jsturm@srataskin.com</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Insider Trading Policy 2024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WHISTLEBLOWER / COMPLIANCE HOTLINE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STRATA has established a Whistleblower / Compliance Hotline to provide a way for board members, executives, officers, employees and agents of STRATA to anonymously report a concern or obtain information or advice. Employees and others may communicate suspected violations of law, policy, or other wrongdoing, as well as any concerns regarding questionable accounting or auditing matters (including deficiencies in internal controls) by contacting Lighthouse Services, Inc., a third-party contractor STRATA has engaged to receive communications about suspected violations, wrongdoing or questionable accounting matters. Reporters can be assured that any information will be treated with confidence to the best extent possible.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Lighthouse will receive anonymous reports, as well as reports in which the caller chooses to give his or her name. Calls to the Compliance Hotline will not be traced or recorded and callers may remain anonymous if they so choose. Representatives of the Compliance Hotline will listen to concerns, ask questions and review the information provided. They will then forward your matter to the Chairman of the Audit Committee of the Board of Directors and the appropriate Designated Recipient within the Company, who will take action appropriate and compliant with applicable legal requirements, including the requirements of the Sarbanes-Oxley Act of 2002.</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Hotline is available 24 hours a day, 7 days a week, and 365 days a year. You may contact Lighthouse through any of the following methods: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English speaking</w:t>
            </w:r>
          </w:p>
        </w:tc>
        <w:tc>
          <w:tcPr>
            <w:tcW w:w="1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1-844-280-0005</w:t>
            </w:r>
          </w:p>
        </w:tc>
        <w:tc>
          <w:tcPr>
            <w:tcW w:w="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USA and Canada:</w:t>
            </w: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Spanish speaking</w:t>
            </w:r>
          </w:p>
        </w:tc>
        <w:tc>
          <w:tcPr>
            <w:tcW w:w="1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1-800-216-1288</w:t>
            </w: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USA and Canada:</w:t>
            </w: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French speaking</w:t>
            </w:r>
          </w:p>
        </w:tc>
        <w:tc>
          <w:tcPr>
            <w:tcW w:w="1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1-855-725-0002</w:t>
            </w: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Spanish speaking</w:t>
            </w:r>
          </w:p>
        </w:tc>
        <w:tc>
          <w:tcPr>
            <w:tcW w:w="1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01-800-681-5340</w:t>
            </w: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Mexico:</w:t>
            </w: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other Countries of North America:</w:t>
            </w: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 xml:space="preserve">1-800-603-2869 (click here for access codes and dialing </w:t>
            </w:r>
            <w:r>
              <w:rPr>
                <w:rFonts w:ascii="Times New Roman" w:cs="Times New Roman" w:eastAsia="Times New Roman" w:hAnsi="Times New Roman"/>
                <w:sz w:val="18"/>
                <w:szCs w:val="18"/>
                <w:b w:val="1"/>
                <w:bCs w:val="1"/>
                <w:color w:val="auto"/>
                <w:w w:val="99"/>
              </w:rPr>
              <w:t>outside</w:t>
            </w:r>
            <w:r>
              <w:rPr>
                <w:rFonts w:ascii="Times New Roman" w:cs="Times New Roman" w:eastAsia="Times New Roman" w:hAnsi="Times New Roman"/>
                <w:sz w:val="18"/>
                <w:szCs w:val="18"/>
                <w:color w:val="auto"/>
                <w:w w:val="99"/>
              </w:rPr>
              <w:t xml:space="preserve"> instructions)</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Website:</w:t>
            </w:r>
          </w:p>
        </w:tc>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80" w:type="dxa"/>
            <w:vAlign w:val="bottom"/>
            <w:vMerge w:val="continue"/>
          </w:tcPr>
          <w:p>
            <w:pPr>
              <w:spacing w:after="0"/>
              <w:rPr>
                <w:sz w:val="24"/>
                <w:szCs w:val="24"/>
                <w:color w:val="auto"/>
              </w:rPr>
            </w:pP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www.lighthouse-services.com/Strataskin</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Email:</w:t>
            </w: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reports@lighthouse-services.com</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Fax (USA):</w:t>
            </w: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215-689-3885 (must include Company name with report)</w:t>
            </w:r>
          </w:p>
        </w:tc>
        <w:tc>
          <w:tcPr>
            <w:tcW w:w="0" w:type="dxa"/>
            <w:vAlign w:val="bottom"/>
          </w:tcPr>
          <w:p>
            <w:pPr>
              <w:spacing w:after="0"/>
              <w:rPr>
                <w:sz w:val="1"/>
                <w:szCs w:val="1"/>
                <w:color w:val="auto"/>
              </w:rPr>
            </w:pPr>
          </w:p>
        </w:tc>
      </w:tr>
      <w:tr>
        <w:trPr>
          <w:trHeight w:val="414"/>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Mail:</w:t>
            </w: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Lighthouse Services, Inc.,</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1710 Walton Road, Suite 204</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Blue Bell, PA 19422.</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DISSEMINATION AND AMENDMENT</w:t>
            </w: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Policy shall be distributed to each new executive, officer, manager, supervisor, employee and agent of the Company upon commencement of his or her employment or other relationship with the Company and shall also be distributed annually to each executive, officer, manager, supervisor, employee and agent of the Company, and each shall certify that he or she has received, read and understood the Policy and has complied with its terms. Dissemination of the Policy will take place electronically.</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Insider Trading Policy 2024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Sarbanes-Oxley Act of 2002 and COSO 2014, this Policy will also be distributed to the Company’s key affiliated third-party vendors and contractors, both domestically and internationally. Dissemination to all such third-parties will take place electronically, where possible.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reserves the right to amend or alter this Policy at any time for any reason. If this Policy is amended or altered, it will be redistributed to all pertinent individuals.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this Policy, please contact: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Sturm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0" w:type="dxa"/>
            <w:vAlign w:val="bottom"/>
          </w:tcPr>
          <w:p>
            <w:pPr>
              <w:spacing w:after="0"/>
              <w:rPr>
                <w:sz w:val="1"/>
                <w:szCs w:val="1"/>
                <w:color w:val="auto"/>
              </w:rPr>
            </w:pPr>
          </w:p>
        </w:tc>
      </w:tr>
      <w:tr>
        <w:trPr>
          <w:trHeight w:val="220"/>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STRATA Skin Sciences, Inc.</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5 Walnut Grove Drive, Suite 140</w:t>
            </w:r>
          </w:p>
        </w:tc>
        <w:tc>
          <w:tcPr>
            <w:tcW w:w="0" w:type="dxa"/>
            <w:vAlign w:val="bottom"/>
          </w:tcPr>
          <w:p>
            <w:pPr>
              <w:spacing w:after="0"/>
              <w:rPr>
                <w:sz w:val="1"/>
                <w:szCs w:val="1"/>
                <w:color w:val="auto"/>
              </w:rPr>
            </w:pPr>
          </w:p>
        </w:tc>
      </w:tr>
      <w:tr>
        <w:trPr>
          <w:trHeight w:val="216"/>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Phone:</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Horsham, PA 19044</w:t>
            </w:r>
          </w:p>
        </w:tc>
        <w:tc>
          <w:tcPr>
            <w:tcW w:w="0" w:type="dxa"/>
            <w:vAlign w:val="bottom"/>
          </w:tcPr>
          <w:p>
            <w:pPr>
              <w:spacing w:after="0"/>
              <w:rPr>
                <w:sz w:val="1"/>
                <w:szCs w:val="1"/>
                <w:color w:val="auto"/>
              </w:rPr>
            </w:pPr>
          </w:p>
        </w:tc>
      </w:tr>
      <w:tr>
        <w:trPr>
          <w:trHeight w:val="212"/>
        </w:trPr>
        <w:tc>
          <w:tcPr>
            <w:tcW w:w="1360" w:type="dxa"/>
            <w:vAlign w:val="bottom"/>
            <w:vMerge w:val="continue"/>
          </w:tcPr>
          <w:p>
            <w:pPr>
              <w:spacing w:after="0"/>
              <w:rPr>
                <w:sz w:val="18"/>
                <w:szCs w:val="18"/>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215-619-3285</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Fax:</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215-619-3209</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Email:</w:t>
            </w:r>
          </w:p>
        </w:tc>
        <w:tc>
          <w:tcPr>
            <w:tcW w:w="2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jsturm@strataskin.com</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Adopted by the STRATA Skin Sciences, Inc. Board of Directors on August 2, 2005</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Amended by Resolution of the STRATA Skin Sciences, Inc. Board of Directors on: October 26, 2017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Amended by Resolution of the STRATA Skin Sciences, Inc. Board of Directors on: June 4, 2018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Last amended by the STRATA Skin Sciences, Inc. Board of Directors: March 11, 2019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Last amended by the STRATA Skin Sciences, Inc. Board of Directors: March 24, 2021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Last amended by the STRATA Skin Sciences, Inc. Board of Directors: October 30, 2024</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Insider Trading Policy 2024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(File No.’s 333-283418, 333-273846, and 333-262150) and Form S-8 (File No. 333-257867) of our report dated March 27, 2025 relating to the consolidated financial statements of STRATA Skin Sciences, Inc. and Subsidiary appearing in this Annual Report on Form 10-K for the years ended December 31,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ind w:left="2964"/>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Dolev Rafaeli, certify that:</w:t>
      </w:r>
    </w:p>
    <w:p>
      <w:pPr>
        <w:spacing w:after="0" w:line="225" w:lineRule="exact"/>
        <w:rPr>
          <w:sz w:val="20"/>
          <w:szCs w:val="20"/>
          <w:color w:val="auto"/>
        </w:rPr>
      </w:pPr>
    </w:p>
    <w:p>
      <w:pPr>
        <w:ind w:left="324" w:hanging="324"/>
        <w:spacing w:after="0"/>
        <w:tabs>
          <w:tab w:leader="none" w:pos="3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STRATA Skin Sciences, Inc.;</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7" w:lineRule="exact"/>
        <w:rPr>
          <w:sz w:val="20"/>
          <w:szCs w:val="20"/>
          <w:color w:val="auto"/>
        </w:rPr>
      </w:pPr>
    </w:p>
    <w:p>
      <w:pPr>
        <w:ind w:left="24"/>
        <w:spacing w:after="0"/>
        <w:rPr>
          <w:sz w:val="20"/>
          <w:szCs w:val="20"/>
          <w:color w:val="auto"/>
        </w:rPr>
      </w:pPr>
      <w:r>
        <w:rPr>
          <w:rFonts w:ascii="Times New Roman" w:cs="Times New Roman" w:eastAsia="Times New Roman" w:hAnsi="Times New Roman"/>
          <w:sz w:val="18"/>
          <w:szCs w:val="18"/>
          <w:color w:val="auto"/>
        </w:rPr>
        <w:t>Dated: March 27, 2025</w:t>
      </w:r>
    </w:p>
    <w:p>
      <w:pPr>
        <w:spacing w:after="0" w:line="9"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By: /s/ Dolev Rafaeli</w:t>
      </w:r>
    </w:p>
    <w:p>
      <w:pPr>
        <w:spacing w:after="0" w:line="18"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Dolev Rafaeli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3377565</wp:posOffset>
            </wp:positionH>
            <wp:positionV relativeFrom="paragraph">
              <wp:posOffset>-127635</wp:posOffset>
            </wp:positionV>
            <wp:extent cx="142303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7"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00" w:lineRule="exact"/>
        <w:rPr>
          <w:sz w:val="20"/>
          <w:szCs w:val="20"/>
          <w:color w:val="auto"/>
        </w:rPr>
      </w:pPr>
    </w:p>
    <w:p>
      <w:pPr>
        <w:spacing w:after="0" w:line="218"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4"/>
          <w:szCs w:val="14"/>
          <w:color w:val="auto"/>
        </w:rPr>
        <w:t>E-31.1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57785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26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ind w:left="2884"/>
        <w:spacing w:after="0"/>
        <w:rPr>
          <w:sz w:val="20"/>
          <w:szCs w:val="20"/>
          <w:color w:val="auto"/>
        </w:rPr>
      </w:pPr>
      <w:r>
        <w:rPr>
          <w:rFonts w:ascii="Times New Roman" w:cs="Times New Roman" w:eastAsia="Times New Roman" w:hAnsi="Times New Roman"/>
          <w:sz w:val="18"/>
          <w:szCs w:val="18"/>
          <w:color w:val="auto"/>
        </w:rPr>
        <w:t>CERTIFICATION OF CHIEF ACCOUNTING OFFICER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John Gillings, certify that:</w:t>
      </w:r>
    </w:p>
    <w:p>
      <w:pPr>
        <w:spacing w:after="0" w:line="225" w:lineRule="exact"/>
        <w:rPr>
          <w:sz w:val="20"/>
          <w:szCs w:val="20"/>
          <w:color w:val="auto"/>
        </w:rPr>
      </w:pPr>
    </w:p>
    <w:p>
      <w:pPr>
        <w:ind w:left="324" w:hanging="324"/>
        <w:spacing w:after="0"/>
        <w:tabs>
          <w:tab w:leader="none" w:pos="3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STRATA Skin Sciences, Inc.;</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4" w:hanging="316"/>
        <w:spacing w:after="0" w:line="282" w:lineRule="auto"/>
        <w:tabs>
          <w:tab w:leader="none" w:pos="9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STRATA SKIN SCIENCES,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 March 27, 2025</w:t>
      </w:r>
    </w:p>
    <w:p>
      <w:pPr>
        <w:spacing w:after="0" w:line="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John Gillings</w:t>
      </w:r>
    </w:p>
    <w:p>
      <w:pPr>
        <w:spacing w:after="0" w:line="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John Gillings</w:t>
      </w:r>
    </w:p>
    <w:p>
      <w:pPr>
        <w:spacing w:after="0" w:line="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0" w:lineRule="exact"/>
        <w:rPr>
          <w:sz w:val="20"/>
          <w:szCs w:val="20"/>
          <w:color w:val="auto"/>
        </w:rPr>
      </w:pPr>
    </w:p>
    <w:p>
      <w:pPr>
        <w:spacing w:after="0" w:line="218"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4"/>
          <w:szCs w:val="14"/>
          <w:color w:val="auto"/>
        </w:rPr>
        <w:t>E-31.2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57785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266"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(1)</w:t>
      </w:r>
    </w:p>
    <w:p>
      <w:pPr>
        <w:spacing w:after="0" w:line="229" w:lineRule="exact"/>
        <w:rPr>
          <w:sz w:val="20"/>
          <w:szCs w:val="20"/>
          <w:color w:val="auto"/>
        </w:rPr>
      </w:pPr>
    </w:p>
    <w:p>
      <w:pPr>
        <w:jc w:val="both"/>
        <w:ind w:firstLine="535"/>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(18 U.S.C. § 1350, as adopted), Dolev Rafaeli, the President and Chief Executive Officer of STRATA Skin Sciences, Inc. (the “Company”), and John Gillings, the Chief Accounting Officer of the Company, each hereby certifies that, to the best of his knowledge:</w:t>
      </w:r>
    </w:p>
    <w:p>
      <w:pPr>
        <w:spacing w:after="0" w:line="176" w:lineRule="exact"/>
        <w:rPr>
          <w:sz w:val="20"/>
          <w:szCs w:val="20"/>
          <w:color w:val="auto"/>
        </w:rPr>
      </w:pPr>
    </w:p>
    <w:p>
      <w:pPr>
        <w:ind w:left="1140" w:right="40" w:hanging="484"/>
        <w:spacing w:after="0" w:line="266"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2024, to which this Certification is attached as Exhibit 32.1 (the “Periodic Report”), fully complies with the requirements of Section 13(a) or Section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140" w:right="60" w:hanging="484"/>
        <w:spacing w:after="0" w:line="282"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March 27, 2025</w:t>
            </w:r>
          </w:p>
        </w:tc>
        <w:tc>
          <w:tcPr>
            <w:tcW w:w="5260" w:type="dxa"/>
            <w:vAlign w:val="bottom"/>
          </w:tcPr>
          <w:p>
            <w:pPr>
              <w:spacing w:after="0"/>
              <w:rPr>
                <w:sz w:val="20"/>
                <w:szCs w:val="20"/>
                <w:color w:val="auto"/>
              </w:rPr>
            </w:pPr>
          </w:p>
        </w:tc>
      </w:tr>
      <w:tr>
        <w:trPr>
          <w:trHeight w:val="45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Dolev Rafaeli</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/s/  John Gillings</w:t>
            </w:r>
          </w:p>
        </w:tc>
      </w:tr>
      <w:tr>
        <w:trPr>
          <w:trHeight w:val="198"/>
        </w:trPr>
        <w:tc>
          <w:tcPr>
            <w:tcW w:w="53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Dolev Rafaeli</w:t>
            </w:r>
          </w:p>
        </w:tc>
        <w:tc>
          <w:tcPr>
            <w:tcW w:w="680" w:type="dxa"/>
            <w:vAlign w:val="bottom"/>
          </w:tcPr>
          <w:p>
            <w:pPr>
              <w:spacing w:after="0"/>
              <w:rPr>
                <w:sz w:val="17"/>
                <w:szCs w:val="17"/>
                <w:color w:val="auto"/>
              </w:rPr>
            </w:pPr>
          </w:p>
        </w:tc>
        <w:tc>
          <w:tcPr>
            <w:tcW w:w="5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John Gillings</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98" w:lineRule="exact"/>
        <w:rPr>
          <w:sz w:val="20"/>
          <w:szCs w:val="20"/>
          <w:color w:val="auto"/>
        </w:rPr>
      </w:pPr>
    </w:p>
    <w:p>
      <w:pPr>
        <w:jc w:val="both"/>
        <w:ind w:left="420" w:hanging="412"/>
        <w:spacing w:after="0" w:line="256" w:lineRule="auto"/>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Annual Report on Form 10-K to which it relates, is not deemed filed with the Securities and Exchange Commission and is not to be incorporated by reference into any filing of STRATA Skin Sciences, Inc.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STRATA Skin Sciences, Inc. and will be retained by STRATA Skin Sciences, Inc. and furnished to the Securities and Exchange Commission or its staff upon request.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lvl w:ilvl="1">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1)"/>
      <w:numFmt w:val="lowerRoman"/>
      <w:start w:val="1"/>
    </w:lvl>
  </w:abstractNum>
  <w:abstractNum w:abstractNumId="22">
    <w:nsid w:val="2463B9EA"/>
    <w:multiLevelType w:val="hybridMultilevel"/>
    <w:lvl w:ilvl="0">
      <w:lvlJc w:val="left"/>
      <w:lvlText w:val="(%1)"/>
      <w:numFmt w:val="lowerRoman"/>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decimal"/>
      <w:start w:val="19"/>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2"/>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decimal"/>
      <w:start w:val="2"/>
    </w:lvl>
  </w:abstractNum>
  <w:abstractNum w:abstractNumId="35">
    <w:nsid w:val="57E4CCAF"/>
    <w:multiLevelType w:val="hybridMultilevel"/>
    <w:lvl w:ilvl="0">
      <w:lvlJc w:val="left"/>
      <w:lvlText w:val="(%1)"/>
      <w:numFmt w:val="lowerRoman"/>
      <w:start w:val="2"/>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o"/>
      <w:numFmt w:val="bullet"/>
      <w:start w:val="1"/>
    </w:lvl>
  </w:abstractNum>
  <w:abstractNum w:abstractNumId="42">
    <w:nsid w:val="32FFF902"/>
    <w:multiLevelType w:val="hybridMultilevel"/>
    <w:lvl w:ilvl="0">
      <w:lvlJc w:val="left"/>
      <w:lvlText w:val="•"/>
      <w:numFmt w:val="bullet"/>
      <w:start w:val="1"/>
    </w:lvl>
    <w:lvl w:ilvl="1">
      <w:lvlJc w:val="left"/>
      <w:lvlText w:val="•"/>
      <w:numFmt w:val="bullet"/>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decimal"/>
      <w:start w:val="1"/>
    </w:lvl>
    <w:lvl w:ilvl="1">
      <w:lvlJc w:val="left"/>
      <w:lvlText w:val="%2."/>
      <w:numFmt w:val="decimal"/>
      <w:start w:val="2"/>
    </w:lvl>
  </w:abstractNum>
  <w:abstractNum w:abstractNumId="45">
    <w:nsid w:val="749ABB43"/>
    <w:multiLevelType w:val="hybridMultilevel"/>
    <w:lvl w:ilvl="0">
      <w:lvlJc w:val="left"/>
      <w:lvlText w:val="%1."/>
      <w:numFmt w:val="decimal"/>
      <w:start w:val="3"/>
    </w:lvl>
    <w:lvl w:ilvl="1">
      <w:lvlJc w:val="left"/>
      <w:lvlText w:val="%2"/>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2"/>
    </w:lvl>
  </w:abstractNum>
  <w:abstractNum w:abstractNumId="49">
    <w:nsid w:val="75C6C33A"/>
    <w:multiLevelType w:val="hybridMultilevel"/>
    <w:lvl w:ilvl="0">
      <w:lvlJc w:val="left"/>
      <w:lvlText w:val="%1."/>
      <w:numFmt w:val="upp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7" Type="http://schemas.openxmlformats.org/officeDocument/2006/relationships/image" Target="media/image59.png"/><Relationship Id="rId69" Type="http://schemas.openxmlformats.org/officeDocument/2006/relationships/image" Target="media/image60.png"/><Relationship Id="rId72" Type="http://schemas.openxmlformats.org/officeDocument/2006/relationships/image" Target="media/image61.png"/><Relationship Id="rId74" Type="http://schemas.openxmlformats.org/officeDocument/2006/relationships/image" Target="media/image62.png"/><Relationship Id="rId77" Type="http://schemas.openxmlformats.org/officeDocument/2006/relationships/image" Target="media/image63.png"/><Relationship Id="rId80" Type="http://schemas.openxmlformats.org/officeDocument/2006/relationships/image" Target="media/image64.png"/><Relationship Id="rId83" Type="http://schemas.openxmlformats.org/officeDocument/2006/relationships/image" Target="media/image65.png"/><Relationship Id="rId85" Type="http://schemas.openxmlformats.org/officeDocument/2006/relationships/image" Target="media/image66.png"/><Relationship Id="rId87" Type="http://schemas.openxmlformats.org/officeDocument/2006/relationships/image" Target="media/image67.png"/><Relationship Id="rId89" Type="http://schemas.openxmlformats.org/officeDocument/2006/relationships/image" Target="media/image68.png"/><Relationship Id="rId92" Type="http://schemas.openxmlformats.org/officeDocument/2006/relationships/image" Target="media/image69.png"/><Relationship Id="rId95" Type="http://schemas.openxmlformats.org/officeDocument/2006/relationships/image" Target="media/image70.png"/><Relationship Id="rId98" Type="http://schemas.openxmlformats.org/officeDocument/2006/relationships/image" Target="media/image71.png"/><Relationship Id="rId101" Type="http://schemas.openxmlformats.org/officeDocument/2006/relationships/image" Target="media/image72.png"/><Relationship Id="rId104" Type="http://schemas.openxmlformats.org/officeDocument/2006/relationships/image" Target="media/image73.png"/><Relationship Id="rId107" Type="http://schemas.openxmlformats.org/officeDocument/2006/relationships/image" Target="media/image74.png"/><Relationship Id="rId109" Type="http://schemas.openxmlformats.org/officeDocument/2006/relationships/image" Target="media/image75.png"/><Relationship Id="rId112" Type="http://schemas.openxmlformats.org/officeDocument/2006/relationships/image" Target="media/image76.png"/><Relationship Id="rId115" Type="http://schemas.openxmlformats.org/officeDocument/2006/relationships/image" Target="media/image77.png"/><Relationship Id="rId117" Type="http://schemas.openxmlformats.org/officeDocument/2006/relationships/image" Target="media/image78.png"/><Relationship Id="rId119" Type="http://schemas.openxmlformats.org/officeDocument/2006/relationships/image" Target="media/image79.png"/><Relationship Id="rId122" Type="http://schemas.openxmlformats.org/officeDocument/2006/relationships/image" Target="media/image80.png"/><Relationship Id="rId125" Type="http://schemas.openxmlformats.org/officeDocument/2006/relationships/image" Target="media/image81.png"/><Relationship Id="rId128" Type="http://schemas.openxmlformats.org/officeDocument/2006/relationships/image" Target="media/image82.png"/><Relationship Id="rId131" Type="http://schemas.openxmlformats.org/officeDocument/2006/relationships/image" Target="media/image83.png"/><Relationship Id="rId132"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66" Type="http://schemas.openxmlformats.org/officeDocument/2006/relationships/hyperlink" Target="https://www.sec.gov/Archives/edgar/data/1051514/000095012310053315/y84813exv3w1.htm" TargetMode="External"/><Relationship Id="rId68" Type="http://schemas.openxmlformats.org/officeDocument/2006/relationships/hyperlink" Target="https://www.sec.gov/Archives/edgar/data/1051514/000114036124028814/ef20030323_ex3-1.htm" TargetMode="External"/><Relationship Id="rId70" Type="http://schemas.openxmlformats.org/officeDocument/2006/relationships/hyperlink" Target="https://www.sec.gov/Archives/edgar/data/1051514/000105151416000033/ex_3-2.htm" TargetMode="External"/><Relationship Id="rId71" Type="http://schemas.openxmlformats.org/officeDocument/2006/relationships/hyperlink" Target="https://www.sec.gov/Archives/edgar/data/1051514/000095012305009522/y09078a2exv4w1.txt" TargetMode="External"/><Relationship Id="rId73" Type="http://schemas.openxmlformats.org/officeDocument/2006/relationships/hyperlink" Target="https://www.sec.gov/Archives/edgar/data/1051514/000119312514102619/d662215dex101.htm" TargetMode="External"/><Relationship Id="rId75" Type="http://schemas.openxmlformats.org/officeDocument/2006/relationships/hyperlink" Target="https://www.sec.gov/Archives/edgar/data/1051514/000095012305009522/y09078a2exv10w4.txt" TargetMode="External"/><Relationship Id="rId76" Type="http://schemas.openxmlformats.org/officeDocument/2006/relationships/hyperlink" Target="https://www.sec.gov/Archives/edgar/data/1051514/000105151416000048/exhibit_4-14.htm" TargetMode="External"/><Relationship Id="rId78" Type="http://schemas.openxmlformats.org/officeDocument/2006/relationships/hyperlink" Target="https://www.sec.gov/Archives/edgar/data/1051514/000105151416000048/exhibit_4-15.htm" TargetMode="External"/><Relationship Id="rId79" Type="http://schemas.openxmlformats.org/officeDocument/2006/relationships/hyperlink" Target="https://www.sec.gov/Archives/edgar/data/1051514/000105151416000084/ex_10-44.htm" TargetMode="External"/><Relationship Id="rId81" Type="http://schemas.openxmlformats.org/officeDocument/2006/relationships/hyperlink" Target="https://www.sec.gov/Archives/edgar/data/1051514/000105151418000008/ex_10-1.htm" TargetMode="External"/><Relationship Id="rId82" Type="http://schemas.openxmlformats.org/officeDocument/2006/relationships/hyperlink" Target="https://www.sec.gov/Archives/edgar/data/1051514/000105151418000008/ex_10-2.htm" TargetMode="External"/><Relationship Id="rId84" Type="http://schemas.openxmlformats.org/officeDocument/2006/relationships/hyperlink" Target="https://www.sec.gov/Archives/edgar/data/1051514/000105151418000008/ex_10-3.htm" TargetMode="External"/><Relationship Id="rId86" Type="http://schemas.openxmlformats.org/officeDocument/2006/relationships/hyperlink" Target="https://www.sec.gov/Archives/edgar/data/1051514/000105151418000008/ex_10-4.htm" TargetMode="External"/><Relationship Id="rId88" Type="http://schemas.openxmlformats.org/officeDocument/2006/relationships/hyperlink" Target="https://www.sec.gov/Archives/edgar/data/1051514/000105151418000008/ex_10-5.htm" TargetMode="External"/><Relationship Id="rId90" Type="http://schemas.openxmlformats.org/officeDocument/2006/relationships/hyperlink" Target="https://www.sec.gov/Archives/edgar/data/1051514/000105151418000008/ex_10-7.htm" TargetMode="External"/><Relationship Id="rId91" Type="http://schemas.openxmlformats.org/officeDocument/2006/relationships/hyperlink" Target="https://www.sec.gov/Archives/edgar/data/1051514/000114036121019613/nc10024391x1_def14a.htm" TargetMode="External"/><Relationship Id="rId93" Type="http://schemas.openxmlformats.org/officeDocument/2006/relationships/hyperlink" Target="https://www.sec.gov/Archives/edgar/data/1051514/000105151418000082/ex_10-1.htm" TargetMode="External"/><Relationship Id="rId94" Type="http://schemas.openxmlformats.org/officeDocument/2006/relationships/hyperlink" Target="https://www.sec.gov/Archives/edgar/data/1051514/000105151420000034/ex_10-1.htm" TargetMode="External"/><Relationship Id="rId96" Type="http://schemas.openxmlformats.org/officeDocument/2006/relationships/hyperlink" Target="https://www.sec.gov/Archives/edgar/data/1051514/000119312521062226/d23266dex103.htm" TargetMode="External"/><Relationship Id="rId97" Type="http://schemas.openxmlformats.org/officeDocument/2006/relationships/hyperlink" Target="https://www.sec.gov/Archives/edgar/data/1051514/000119312521062226/d23266dex104.htm" TargetMode="External"/><Relationship Id="rId99" Type="http://schemas.openxmlformats.org/officeDocument/2006/relationships/hyperlink" Target="https://www.sec.gov/Archives/edgar/data/1051514/000105151421000066/ex_10-5.htm" TargetMode="External"/><Relationship Id="rId100" Type="http://schemas.openxmlformats.org/officeDocument/2006/relationships/hyperlink" Target="https://www.sec.gov/Archives/edgar/data/1051514/000105151421000079/ex_10-1.htm" TargetMode="External"/><Relationship Id="rId102" Type="http://schemas.openxmlformats.org/officeDocument/2006/relationships/hyperlink" Target="https://www.sec.gov/Archives/edgar/data/1051514/000114036122010347/brhc10035383_ex10-79.htm" TargetMode="External"/><Relationship Id="rId103" Type="http://schemas.openxmlformats.org/officeDocument/2006/relationships/hyperlink" Target="https://www.sec.gov/Archives/edgar/data/1051514/000114036123033456/brhc20055586_ex10-1.htm" TargetMode="External"/><Relationship Id="rId105" Type="http://schemas.openxmlformats.org/officeDocument/2006/relationships/hyperlink" Target="https://www.sec.gov/Archives/edgar/data/1051514/000105151421000066/ex_10-2.htm" TargetMode="External"/><Relationship Id="rId106" Type="http://schemas.openxmlformats.org/officeDocument/2006/relationships/hyperlink" Target="https://www.sec.gov/Archives/edgar/data/1051514/000114036123033456/brhc20055586_ex10-4.htm" TargetMode="External"/><Relationship Id="rId108" Type="http://schemas.openxmlformats.org/officeDocument/2006/relationships/hyperlink" Target="https://www.sec.gov/Archives/edgar/data/1051514/000114036123033456/brhc20055586_ex10-5.htm" TargetMode="External"/><Relationship Id="rId110" Type="http://schemas.openxmlformats.org/officeDocument/2006/relationships/hyperlink" Target="https://www.sec.gov/Archives/edgar/data/1051514/000114036124008801/ef20022109_ex10-1.htm" TargetMode="External"/><Relationship Id="rId111" Type="http://schemas.openxmlformats.org/officeDocument/2006/relationships/hyperlink" Target="https://www.sec.gov/Archives/edgar/data/1051514/000114036124015754/ef20015284_ex10-26.htm" TargetMode="External"/><Relationship Id="rId113" Type="http://schemas.openxmlformats.org/officeDocument/2006/relationships/hyperlink" Target="https://www.sec.gov/Archives/edgar/data/1051514/000105151422000003/ex_10-1.htm" TargetMode="External"/><Relationship Id="rId114" Type="http://schemas.openxmlformats.org/officeDocument/2006/relationships/hyperlink" Target="https://www.sec.gov/Archives/edgar/data/1051514/000114036122018639/brhc10037199_ex10-2.htm" TargetMode="External"/><Relationship Id="rId116" Type="http://schemas.openxmlformats.org/officeDocument/2006/relationships/hyperlink" Target="https://www.sec.gov/Archives/edgar/data/1051514/000105151421000051/ex_10-1.htm" TargetMode="External"/><Relationship Id="rId118" Type="http://schemas.openxmlformats.org/officeDocument/2006/relationships/hyperlink" Target="https://www.sec.gov/Archives/edgar/data/1051514/000114036122018639/brhc10037199_ex10-3.htm" TargetMode="External"/><Relationship Id="rId120" Type="http://schemas.openxmlformats.org/officeDocument/2006/relationships/hyperlink" Target="https://www.sec.gov/Archives/edgar/data/1051514/000114036122018639/brhc10037199_ex10-4.htm" TargetMode="External"/><Relationship Id="rId121" Type="http://schemas.openxmlformats.org/officeDocument/2006/relationships/hyperlink" Target="https://www.sec.gov/Archives/edgar/data/1051514/000114036123033456/brhc20055586_ex10-3.htm" TargetMode="External"/><Relationship Id="rId123" Type="http://schemas.openxmlformats.org/officeDocument/2006/relationships/hyperlink" Target="https://www.sec.gov/Archives/edgar/data/1051514/000114036123038813/brhc20057195_ex10-6.htm" TargetMode="External"/><Relationship Id="rId124" Type="http://schemas.openxmlformats.org/officeDocument/2006/relationships/hyperlink" Target="https://www.sec.gov/Archives/edgar/data/1051514/000114036123050058/ef20013534_ex10-2.htm" TargetMode="External"/><Relationship Id="rId126" Type="http://schemas.openxmlformats.org/officeDocument/2006/relationships/hyperlink" Target="https://www.sec.gov/Archives/edgar/data/1051514/000114036123050058/ef20013534_ex10-3.htm" TargetMode="External"/><Relationship Id="rId127" Type="http://schemas.openxmlformats.org/officeDocument/2006/relationships/hyperlink" Target="https://www.sec.gov/Archives/edgar/data/1051514/000114036123050058/ef20013534_ex10-4.htm" TargetMode="External"/><Relationship Id="rId129" Type="http://schemas.openxmlformats.org/officeDocument/2006/relationships/hyperlink" Target="https://www.sec.gov/Archives/edgar/data/1051514/000114036123050058/ef20013534_ex10-5.htm" TargetMode="External"/><Relationship Id="rId130" Type="http://schemas.openxmlformats.org/officeDocument/2006/relationships/hyperlink" Target="https://www.sec.gov/Archives/edgar/data/1051514/000114036124008801/ef20022109_ex10-4.htm" TargetMode="External"/><Relationship Id="rId133" Type="http://schemas.openxmlformats.org/officeDocument/2006/relationships/hyperlink" Target="https://www.sec.gov/Archives/edgar/data/0001051514/000114036124015754/ef20015284_ex10-3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2025-03-28T05:36:38Z</dcterms:created>
  <dcterms:modified xsi:type="dcterms:W3CDTF">2025-03-28T05:36:38Z</dcterms:modified>
</cp:coreProperties>
</file>